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74" w:rsidRPr="00251E51" w:rsidRDefault="00251E51" w:rsidP="00251E51">
      <w:pPr>
        <w:autoSpaceDE w:val="0"/>
        <w:autoSpaceDN w:val="0"/>
        <w:adjustRightInd w:val="0"/>
        <w:ind w:right="-284"/>
        <w:jc w:val="center"/>
        <w:rPr>
          <w:b/>
          <w:sz w:val="24"/>
          <w:szCs w:val="24"/>
        </w:rPr>
      </w:pPr>
      <w:r w:rsidRPr="00251E51">
        <w:rPr>
          <w:rFonts w:eastAsia="Calibri"/>
          <w:b/>
          <w:sz w:val="24"/>
          <w:szCs w:val="24"/>
          <w:lang w:eastAsia="en-US"/>
        </w:rPr>
        <w:t>ИНФОРМАЦИЯ</w:t>
      </w:r>
    </w:p>
    <w:p w:rsidR="00251E51" w:rsidRPr="00106080" w:rsidRDefault="00251E51" w:rsidP="00BE3874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9927"/>
      </w:tblGrid>
      <w:tr w:rsidR="00251E51" w:rsidRPr="004D5178" w:rsidTr="00251E51">
        <w:trPr>
          <w:trHeight w:val="439"/>
        </w:trPr>
        <w:tc>
          <w:tcPr>
            <w:tcW w:w="9927" w:type="dxa"/>
            <w:vAlign w:val="bottom"/>
            <w:hideMark/>
          </w:tcPr>
          <w:tbl>
            <w:tblPr>
              <w:tblW w:w="9639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402"/>
              <w:gridCol w:w="5670"/>
            </w:tblGrid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N п/п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Сведения о земельном участке </w:t>
                  </w:r>
                  <w:r w:rsidR="00772007">
                    <w:rPr>
                      <w:rFonts w:eastAsia="Calibri"/>
                      <w:sz w:val="22"/>
                      <w:szCs w:val="22"/>
                      <w:lang w:eastAsia="en-US"/>
                    </w:rPr>
                    <w:br/>
                  </w: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 аукционе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Информация</w:t>
                  </w:r>
                </w:p>
              </w:tc>
            </w:tr>
            <w:tr w:rsidR="00251E51" w:rsidRPr="00106080" w:rsidTr="003E4C57">
              <w:trPr>
                <w:trHeight w:val="38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06080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106080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Реквизиты решения Комитета имущественных отношений Санкт-Петербурга </w:t>
                  </w:r>
                  <w:r w:rsidR="0012501B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о заключении договора </w:t>
                  </w:r>
                  <w:r w:rsidR="0012501B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 размещение НТО </w:t>
                  </w:r>
                  <w:r w:rsidR="008754C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A9753D" w:rsidRDefault="00251E51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A9753D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E42123" w:rsidRPr="00E4212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30.04.2025 №</w:t>
                  </w:r>
                  <w:r w:rsidR="00E4212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42123" w:rsidRPr="00E4212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220-НТО(Ц)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заявителя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6469E3" w:rsidP="00770C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9354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ООО «</w:t>
                  </w:r>
                  <w:r w:rsidR="00E124F7" w:rsidRPr="00E124F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ОРИОН</w:t>
                  </w:r>
                  <w:r w:rsidRPr="00A9354A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,</w:t>
                  </w:r>
                  <w:r w:rsidRPr="006469E3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ОГРН </w:t>
                  </w:r>
                  <w:r w:rsidR="00E124F7" w:rsidRPr="00E124F7">
                    <w:rPr>
                      <w:rFonts w:eastAsia="Calibri"/>
                      <w:sz w:val="24"/>
                      <w:szCs w:val="24"/>
                      <w:lang w:eastAsia="en-US"/>
                    </w:rPr>
                    <w:t>1197847240700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Основания для заключения договора без проведения аукциона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C90696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320EF4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Подпункт </w:t>
                  </w:r>
                  <w:r w:rsidR="006469E3" w:rsidRPr="00320EF4">
                    <w:rPr>
                      <w:rFonts w:eastAsia="Calibri"/>
                      <w:b/>
                      <w:color w:val="000000"/>
                      <w:sz w:val="24"/>
                      <w:szCs w:val="24"/>
                      <w:lang w:eastAsia="en-US"/>
                    </w:rPr>
                    <w:t>7</w:t>
                  </w:r>
                  <w:hyperlink r:id="rId6" w:history="1">
                    <w:r w:rsidRPr="00320EF4">
                      <w:rPr>
                        <w:rFonts w:eastAsia="Calibri"/>
                        <w:b/>
                        <w:color w:val="000000"/>
                        <w:sz w:val="24"/>
                        <w:szCs w:val="24"/>
                        <w:lang w:eastAsia="en-US"/>
                      </w:rPr>
                      <w:t xml:space="preserve"> пункта 1 статьи 6</w:t>
                    </w:r>
                  </w:hyperlink>
                  <w:r w:rsidRPr="00D65D61">
                    <w:rPr>
                      <w:rFonts w:eastAsia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Закона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Санкт-Петербурга от 08.04.2015 №</w:t>
                  </w:r>
                  <w:r w:rsidR="00320EF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165-27 </w:t>
                  </w:r>
                  <w:r w:rsidR="00D24968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«О размещении нестационарных торговых объектов»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Дата заключения договора </w:t>
                  </w:r>
                  <w:r w:rsidR="003679CD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br/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на размещение НТО: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Не заключен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месте размещения НТО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1344F8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1344F8">
                    <w:rPr>
                      <w:rFonts w:eastAsia="Calibri"/>
                      <w:sz w:val="24"/>
                      <w:szCs w:val="24"/>
                      <w:lang w:eastAsia="en-US"/>
                    </w:rPr>
                    <w:t>5.1.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E42123" w:rsidRDefault="00E42123" w:rsidP="00E42123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E42123">
                    <w:rPr>
                      <w:sz w:val="24"/>
                      <w:szCs w:val="24"/>
                    </w:rPr>
                    <w:t xml:space="preserve">пункт 31 раздела VI «Объекты, используемые для реализации периодической печатной продукции. Павильоны, киоски» (Красногвардейский район, номер заявления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E42123">
                    <w:rPr>
                      <w:sz w:val="24"/>
                      <w:szCs w:val="24"/>
                    </w:rPr>
                    <w:t xml:space="preserve">в РГИС 37142) части 2 «Прочие торговые объекты» Схемы размещения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E42123">
                    <w:rPr>
                      <w:sz w:val="24"/>
                      <w:szCs w:val="24"/>
                    </w:rPr>
                    <w:t xml:space="preserve">НТО на земельных участках, находящихся в государственной собственности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E42123">
                    <w:rPr>
                      <w:sz w:val="24"/>
                      <w:szCs w:val="24"/>
                    </w:rPr>
                    <w:t xml:space="preserve">Санкт-Петербурга или государственная собственность на которые не разграничена, утвержденной распоряжением Комитета по развитию предпринимательства </w:t>
                  </w:r>
                  <w:r>
                    <w:rPr>
                      <w:sz w:val="24"/>
                      <w:szCs w:val="24"/>
                    </w:rPr>
                    <w:br/>
                  </w:r>
                  <w:bookmarkStart w:id="0" w:name="_GoBack"/>
                  <w:bookmarkEnd w:id="0"/>
                  <w:r w:rsidRPr="00E42123">
                    <w:rPr>
                      <w:sz w:val="24"/>
                      <w:szCs w:val="24"/>
                    </w:rPr>
                    <w:t xml:space="preserve">и потребительского рынка </w:t>
                  </w:r>
                  <w:r>
                    <w:rPr>
                      <w:sz w:val="24"/>
                      <w:szCs w:val="24"/>
                    </w:rPr>
                    <w:t xml:space="preserve">Санкт-Петербурга от 20.10.2017 </w:t>
                  </w:r>
                  <w:r w:rsidRPr="00E42123">
                    <w:rPr>
                      <w:sz w:val="24"/>
                      <w:szCs w:val="24"/>
                    </w:rPr>
                    <w:t>№ 5371-р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5.2.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656059" w:rsidRDefault="00251E51" w:rsidP="006469E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Адрес земельного участка (местоположение): </w:t>
                  </w:r>
                  <w:bookmarkStart w:id="1" w:name="object"/>
                  <w:bookmarkEnd w:id="1"/>
                  <w:r w:rsidR="00E124F7" w:rsidRPr="00E124F7">
                    <w:rPr>
                      <w:b/>
                      <w:sz w:val="24"/>
                      <w:szCs w:val="28"/>
                    </w:rPr>
                    <w:t xml:space="preserve">Санкт-Петербург, </w:t>
                  </w:r>
                  <w:r w:rsidR="00E42123" w:rsidRPr="00E42123">
                    <w:rPr>
                      <w:b/>
                      <w:sz w:val="24"/>
                      <w:szCs w:val="28"/>
                    </w:rPr>
                    <w:t>Окраинная ул., уч. 6 (напротив д. 123, корп. 2, литера А по Рябовскому шоссе)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5.3.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F47BE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Кадастровый номер земельного участка (при наличии)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594BD1">
                    <w:rPr>
                      <w:rFonts w:eastAsia="Calibri"/>
                      <w:sz w:val="24"/>
                      <w:szCs w:val="24"/>
                      <w:lang w:eastAsia="en-US"/>
                    </w:rPr>
                    <w:t>отсутствует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5.4.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7B64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Площадь земельного участка, предназначенного для размещения НТО</w:t>
                  </w:r>
                  <w:r w:rsidR="000631EC"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:</w:t>
                  </w: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E4212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10</w:t>
                  </w:r>
                  <w:r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кв.м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5.5.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6253D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Вид и цель использования НТО:</w:t>
                  </w:r>
                  <w:r w:rsidRPr="00D65D61">
                    <w:rPr>
                      <w:sz w:val="24"/>
                      <w:szCs w:val="24"/>
                    </w:rPr>
                    <w:t xml:space="preserve"> </w:t>
                  </w:r>
                  <w:r w:rsidR="006253D9">
                    <w:rPr>
                      <w:b/>
                      <w:sz w:val="24"/>
                      <w:szCs w:val="28"/>
                    </w:rPr>
                    <w:t>павильон или киоск</w:t>
                  </w:r>
                  <w:r w:rsidR="0015385F" w:rsidRPr="00320EF4">
                    <w:rPr>
                      <w:b/>
                      <w:sz w:val="24"/>
                      <w:szCs w:val="28"/>
                    </w:rPr>
                    <w:t xml:space="preserve"> по реализации периодической печатной продукции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5.6.</w:t>
                  </w:r>
                </w:p>
              </w:tc>
              <w:tc>
                <w:tcPr>
                  <w:tcW w:w="90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D249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Срок действия договора на размещение НТО: </w:t>
                  </w:r>
                  <w:r w:rsidR="00D30B9F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пять лет</w:t>
                  </w:r>
                </w:p>
              </w:tc>
            </w:tr>
            <w:tr w:rsidR="00251E51" w:rsidRPr="00106080" w:rsidTr="00F82F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D65D61" w:rsidRDefault="00251E51" w:rsidP="00BE387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D65D61">
                    <w:rPr>
                      <w:rFonts w:eastAsia="Calibri"/>
                      <w:sz w:val="24"/>
                      <w:szCs w:val="24"/>
                      <w:lang w:eastAsia="en-US"/>
                    </w:rPr>
                    <w:t>Сведения о признании Решения утратившим силу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1E51" w:rsidRPr="00320EF4" w:rsidRDefault="00251E51" w:rsidP="008E023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Решение </w:t>
                  </w:r>
                  <w:r w:rsidR="00E124F7" w:rsidRPr="00E124F7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</w:t>
                  </w:r>
                  <w:r w:rsidR="00E42123" w:rsidRPr="00E4212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30.04.2025 № 220-НТО(Ц)</w:t>
                  </w:r>
                  <w:r w:rsidR="00D30B9F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признано утратившим силу </w:t>
                  </w:r>
                  <w:r w:rsidR="00F0769E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в связи с </w:t>
                  </w:r>
                  <w:r w:rsidR="008E023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отказом</w:t>
                  </w:r>
                  <w:r w:rsidR="00F0769E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заявителя </w:t>
                  </w:r>
                  <w:r w:rsidR="008E0233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от подписания договора на размещение НТО </w:t>
                  </w:r>
                  <w:r w:rsidR="00AA3619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br/>
                  </w:r>
                  <w:r w:rsidR="00F0769E" w:rsidRPr="00320EF4"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без проведения аукциона</w:t>
                  </w:r>
                </w:p>
              </w:tc>
            </w:tr>
          </w:tbl>
          <w:p w:rsidR="00251E51" w:rsidRPr="003679CD" w:rsidRDefault="00251E51" w:rsidP="00251E5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noProof/>
                <w:sz w:val="26"/>
                <w:szCs w:val="26"/>
              </w:rPr>
            </w:pPr>
          </w:p>
        </w:tc>
      </w:tr>
    </w:tbl>
    <w:p w:rsidR="00BE3874" w:rsidRPr="004F35CC" w:rsidRDefault="00BE3874" w:rsidP="00B558C7">
      <w:pPr>
        <w:ind w:right="-426"/>
        <w:jc w:val="both"/>
        <w:rPr>
          <w:szCs w:val="16"/>
        </w:rPr>
      </w:pPr>
    </w:p>
    <w:sectPr w:rsidR="00BE3874" w:rsidRPr="004F35CC" w:rsidSect="00B21FCE">
      <w:pgSz w:w="11906" w:h="16838"/>
      <w:pgMar w:top="1134" w:right="567" w:bottom="426" w:left="1418" w:header="72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DB" w:rsidRDefault="007624DB" w:rsidP="00A50306">
      <w:r>
        <w:separator/>
      </w:r>
    </w:p>
  </w:endnote>
  <w:endnote w:type="continuationSeparator" w:id="0">
    <w:p w:rsidR="007624DB" w:rsidRDefault="007624DB" w:rsidP="00A5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DB" w:rsidRDefault="007624DB" w:rsidP="00A50306">
      <w:r>
        <w:separator/>
      </w:r>
    </w:p>
  </w:footnote>
  <w:footnote w:type="continuationSeparator" w:id="0">
    <w:p w:rsidR="007624DB" w:rsidRDefault="007624DB" w:rsidP="00A5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88"/>
    <w:rsid w:val="00020806"/>
    <w:rsid w:val="00026D7C"/>
    <w:rsid w:val="0003036F"/>
    <w:rsid w:val="0003717F"/>
    <w:rsid w:val="00041F38"/>
    <w:rsid w:val="00047A5B"/>
    <w:rsid w:val="00051043"/>
    <w:rsid w:val="000615F9"/>
    <w:rsid w:val="00062A10"/>
    <w:rsid w:val="000631EC"/>
    <w:rsid w:val="0007179C"/>
    <w:rsid w:val="0008099C"/>
    <w:rsid w:val="000865DC"/>
    <w:rsid w:val="00097544"/>
    <w:rsid w:val="000A1190"/>
    <w:rsid w:val="000B060E"/>
    <w:rsid w:val="000B127B"/>
    <w:rsid w:val="000B3BC6"/>
    <w:rsid w:val="000B5E03"/>
    <w:rsid w:val="000C7569"/>
    <w:rsid w:val="000D60AF"/>
    <w:rsid w:val="0012501B"/>
    <w:rsid w:val="00131F47"/>
    <w:rsid w:val="00131F79"/>
    <w:rsid w:val="001344F8"/>
    <w:rsid w:val="00140BF4"/>
    <w:rsid w:val="00144466"/>
    <w:rsid w:val="0014734B"/>
    <w:rsid w:val="00152CEA"/>
    <w:rsid w:val="0015385F"/>
    <w:rsid w:val="00155D0B"/>
    <w:rsid w:val="00172286"/>
    <w:rsid w:val="00173D23"/>
    <w:rsid w:val="001747AC"/>
    <w:rsid w:val="00190AD2"/>
    <w:rsid w:val="0019775C"/>
    <w:rsid w:val="001A43A2"/>
    <w:rsid w:val="001B537A"/>
    <w:rsid w:val="001B75FB"/>
    <w:rsid w:val="001C2B0A"/>
    <w:rsid w:val="001D7F83"/>
    <w:rsid w:val="001E7C8F"/>
    <w:rsid w:val="002006B4"/>
    <w:rsid w:val="00205667"/>
    <w:rsid w:val="00207A2C"/>
    <w:rsid w:val="00221484"/>
    <w:rsid w:val="00241014"/>
    <w:rsid w:val="00244C34"/>
    <w:rsid w:val="002465C1"/>
    <w:rsid w:val="00246A32"/>
    <w:rsid w:val="00251E51"/>
    <w:rsid w:val="002649F1"/>
    <w:rsid w:val="00277176"/>
    <w:rsid w:val="00283B16"/>
    <w:rsid w:val="0029478A"/>
    <w:rsid w:val="002A4E9E"/>
    <w:rsid w:val="002B0663"/>
    <w:rsid w:val="002B5385"/>
    <w:rsid w:val="002B7A10"/>
    <w:rsid w:val="002D1C21"/>
    <w:rsid w:val="002D4DC4"/>
    <w:rsid w:val="002D5F0F"/>
    <w:rsid w:val="002E5682"/>
    <w:rsid w:val="002F2977"/>
    <w:rsid w:val="002F36C5"/>
    <w:rsid w:val="002F71E7"/>
    <w:rsid w:val="00301243"/>
    <w:rsid w:val="0030337A"/>
    <w:rsid w:val="00320EF4"/>
    <w:rsid w:val="00327DAB"/>
    <w:rsid w:val="00340FED"/>
    <w:rsid w:val="00346FCB"/>
    <w:rsid w:val="00367619"/>
    <w:rsid w:val="003679CD"/>
    <w:rsid w:val="00374932"/>
    <w:rsid w:val="00376142"/>
    <w:rsid w:val="003A1984"/>
    <w:rsid w:val="003B6DC1"/>
    <w:rsid w:val="003E33D3"/>
    <w:rsid w:val="003E4C57"/>
    <w:rsid w:val="003E5C60"/>
    <w:rsid w:val="00414BE7"/>
    <w:rsid w:val="004372E2"/>
    <w:rsid w:val="004400BC"/>
    <w:rsid w:val="00452486"/>
    <w:rsid w:val="00467827"/>
    <w:rsid w:val="004B4CA4"/>
    <w:rsid w:val="004C7579"/>
    <w:rsid w:val="004D4464"/>
    <w:rsid w:val="004D5178"/>
    <w:rsid w:val="004E3F9A"/>
    <w:rsid w:val="004F35CC"/>
    <w:rsid w:val="00506A55"/>
    <w:rsid w:val="00507696"/>
    <w:rsid w:val="00515DCA"/>
    <w:rsid w:val="00515FA1"/>
    <w:rsid w:val="00532EF8"/>
    <w:rsid w:val="00551E44"/>
    <w:rsid w:val="00560A3B"/>
    <w:rsid w:val="00561B88"/>
    <w:rsid w:val="00571260"/>
    <w:rsid w:val="00593C01"/>
    <w:rsid w:val="00594BD1"/>
    <w:rsid w:val="005A2F0D"/>
    <w:rsid w:val="005B01B9"/>
    <w:rsid w:val="005B5A2B"/>
    <w:rsid w:val="005C7A35"/>
    <w:rsid w:val="005C7AFA"/>
    <w:rsid w:val="005E3E77"/>
    <w:rsid w:val="005E686A"/>
    <w:rsid w:val="006014A9"/>
    <w:rsid w:val="00606694"/>
    <w:rsid w:val="00607CA2"/>
    <w:rsid w:val="0061477E"/>
    <w:rsid w:val="006253D9"/>
    <w:rsid w:val="0063514C"/>
    <w:rsid w:val="00640A27"/>
    <w:rsid w:val="006469E3"/>
    <w:rsid w:val="00656059"/>
    <w:rsid w:val="00663458"/>
    <w:rsid w:val="006653A6"/>
    <w:rsid w:val="00667399"/>
    <w:rsid w:val="006702EC"/>
    <w:rsid w:val="00680C36"/>
    <w:rsid w:val="006815F2"/>
    <w:rsid w:val="00690881"/>
    <w:rsid w:val="006A4069"/>
    <w:rsid w:val="006B325D"/>
    <w:rsid w:val="006E24B7"/>
    <w:rsid w:val="006E55B1"/>
    <w:rsid w:val="006E700B"/>
    <w:rsid w:val="006E7553"/>
    <w:rsid w:val="007117C0"/>
    <w:rsid w:val="00717333"/>
    <w:rsid w:val="00731174"/>
    <w:rsid w:val="00733904"/>
    <w:rsid w:val="00744333"/>
    <w:rsid w:val="007624DB"/>
    <w:rsid w:val="0076769E"/>
    <w:rsid w:val="00770C1A"/>
    <w:rsid w:val="00772007"/>
    <w:rsid w:val="00773038"/>
    <w:rsid w:val="00781FD9"/>
    <w:rsid w:val="00783470"/>
    <w:rsid w:val="00791E4A"/>
    <w:rsid w:val="007935DB"/>
    <w:rsid w:val="007A01C2"/>
    <w:rsid w:val="007B2EFD"/>
    <w:rsid w:val="007B6474"/>
    <w:rsid w:val="007C4212"/>
    <w:rsid w:val="00826750"/>
    <w:rsid w:val="00846692"/>
    <w:rsid w:val="00865A62"/>
    <w:rsid w:val="008754CC"/>
    <w:rsid w:val="00887587"/>
    <w:rsid w:val="008965AD"/>
    <w:rsid w:val="008A229A"/>
    <w:rsid w:val="008A503F"/>
    <w:rsid w:val="008A5161"/>
    <w:rsid w:val="008B5B4C"/>
    <w:rsid w:val="008C56F8"/>
    <w:rsid w:val="008E0233"/>
    <w:rsid w:val="008E161F"/>
    <w:rsid w:val="008E48A0"/>
    <w:rsid w:val="008F4E9E"/>
    <w:rsid w:val="00902628"/>
    <w:rsid w:val="009215B6"/>
    <w:rsid w:val="00931EF5"/>
    <w:rsid w:val="00933F3C"/>
    <w:rsid w:val="0094054F"/>
    <w:rsid w:val="009858FD"/>
    <w:rsid w:val="009912FD"/>
    <w:rsid w:val="00995A02"/>
    <w:rsid w:val="009B2ECA"/>
    <w:rsid w:val="009B3002"/>
    <w:rsid w:val="009C0BAA"/>
    <w:rsid w:val="009E0E5F"/>
    <w:rsid w:val="009F2C37"/>
    <w:rsid w:val="00A02E53"/>
    <w:rsid w:val="00A14C22"/>
    <w:rsid w:val="00A164FE"/>
    <w:rsid w:val="00A43440"/>
    <w:rsid w:val="00A50306"/>
    <w:rsid w:val="00A82801"/>
    <w:rsid w:val="00A928F4"/>
    <w:rsid w:val="00A9354A"/>
    <w:rsid w:val="00A971EB"/>
    <w:rsid w:val="00A9753D"/>
    <w:rsid w:val="00AA3619"/>
    <w:rsid w:val="00AD73F3"/>
    <w:rsid w:val="00B043B4"/>
    <w:rsid w:val="00B12F05"/>
    <w:rsid w:val="00B159D5"/>
    <w:rsid w:val="00B21FCE"/>
    <w:rsid w:val="00B3169D"/>
    <w:rsid w:val="00B414ED"/>
    <w:rsid w:val="00B455FD"/>
    <w:rsid w:val="00B50DB2"/>
    <w:rsid w:val="00B558C7"/>
    <w:rsid w:val="00B615D6"/>
    <w:rsid w:val="00B63321"/>
    <w:rsid w:val="00B6394C"/>
    <w:rsid w:val="00B75791"/>
    <w:rsid w:val="00B93E41"/>
    <w:rsid w:val="00BB19C6"/>
    <w:rsid w:val="00BD20A6"/>
    <w:rsid w:val="00BE3874"/>
    <w:rsid w:val="00BF14DE"/>
    <w:rsid w:val="00C015A4"/>
    <w:rsid w:val="00C23D6D"/>
    <w:rsid w:val="00C262EB"/>
    <w:rsid w:val="00C525FE"/>
    <w:rsid w:val="00C60E6B"/>
    <w:rsid w:val="00C71514"/>
    <w:rsid w:val="00C71B5C"/>
    <w:rsid w:val="00C86346"/>
    <w:rsid w:val="00C90696"/>
    <w:rsid w:val="00C977ED"/>
    <w:rsid w:val="00CA486B"/>
    <w:rsid w:val="00CB3614"/>
    <w:rsid w:val="00CB4FDB"/>
    <w:rsid w:val="00CC6E19"/>
    <w:rsid w:val="00CD6609"/>
    <w:rsid w:val="00CF2A71"/>
    <w:rsid w:val="00CF522C"/>
    <w:rsid w:val="00D24968"/>
    <w:rsid w:val="00D26123"/>
    <w:rsid w:val="00D30B9F"/>
    <w:rsid w:val="00D346BC"/>
    <w:rsid w:val="00D431A7"/>
    <w:rsid w:val="00D45ECE"/>
    <w:rsid w:val="00D65D61"/>
    <w:rsid w:val="00D700BA"/>
    <w:rsid w:val="00DA0CFE"/>
    <w:rsid w:val="00DA56A1"/>
    <w:rsid w:val="00DB6020"/>
    <w:rsid w:val="00DC1112"/>
    <w:rsid w:val="00DC645E"/>
    <w:rsid w:val="00DE0581"/>
    <w:rsid w:val="00DE7E5C"/>
    <w:rsid w:val="00E02199"/>
    <w:rsid w:val="00E124F7"/>
    <w:rsid w:val="00E16BE1"/>
    <w:rsid w:val="00E30BEC"/>
    <w:rsid w:val="00E3257E"/>
    <w:rsid w:val="00E42123"/>
    <w:rsid w:val="00E479CB"/>
    <w:rsid w:val="00E57255"/>
    <w:rsid w:val="00E615A5"/>
    <w:rsid w:val="00E70717"/>
    <w:rsid w:val="00E72A0F"/>
    <w:rsid w:val="00EB517C"/>
    <w:rsid w:val="00EC1156"/>
    <w:rsid w:val="00EC23A9"/>
    <w:rsid w:val="00ED418B"/>
    <w:rsid w:val="00ED4CAC"/>
    <w:rsid w:val="00EF1AFA"/>
    <w:rsid w:val="00F0769E"/>
    <w:rsid w:val="00F12108"/>
    <w:rsid w:val="00F21994"/>
    <w:rsid w:val="00F27C0F"/>
    <w:rsid w:val="00F420A9"/>
    <w:rsid w:val="00F46AEA"/>
    <w:rsid w:val="00F47BEE"/>
    <w:rsid w:val="00F502F2"/>
    <w:rsid w:val="00F6402F"/>
    <w:rsid w:val="00F6630B"/>
    <w:rsid w:val="00F66809"/>
    <w:rsid w:val="00F71CB6"/>
    <w:rsid w:val="00F82F01"/>
    <w:rsid w:val="00F8510C"/>
    <w:rsid w:val="00F9067B"/>
    <w:rsid w:val="00F92388"/>
    <w:rsid w:val="00FA1F98"/>
    <w:rsid w:val="00FC1D26"/>
    <w:rsid w:val="00FD38D9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E4D5C2"/>
  <w15:chartTrackingRefBased/>
  <w15:docId w15:val="{5A57565E-C141-4BAC-9C3F-6A7AFE0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483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right="-58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rsid w:val="009912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next w:val="a"/>
    <w:qFormat/>
    <w:pPr>
      <w:framePr w:w="4611" w:h="4318" w:hRule="exact" w:hSpace="141" w:wrap="around" w:vAnchor="text" w:hAnchor="page" w:x="1291" w:y="-1004"/>
      <w:ind w:right="-27"/>
      <w:jc w:val="center"/>
    </w:pPr>
    <w:rPr>
      <w:b/>
      <w:sz w:val="24"/>
    </w:rPr>
  </w:style>
  <w:style w:type="character" w:customStyle="1" w:styleId="a5">
    <w:name w:val="Гипертекстовая ссылка"/>
    <w:rsid w:val="005B5A2B"/>
    <w:rPr>
      <w:color w:val="008000"/>
    </w:rPr>
  </w:style>
  <w:style w:type="character" w:styleId="a6">
    <w:name w:val="FollowedHyperlink"/>
    <w:rsid w:val="005B5A2B"/>
    <w:rPr>
      <w:color w:val="800080"/>
      <w:u w:val="single"/>
    </w:rPr>
  </w:style>
  <w:style w:type="paragraph" w:styleId="a7">
    <w:name w:val="Balloon Text"/>
    <w:basedOn w:val="a"/>
    <w:link w:val="a8"/>
    <w:rsid w:val="002006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006B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503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50306"/>
  </w:style>
  <w:style w:type="paragraph" w:styleId="ab">
    <w:name w:val="footer"/>
    <w:basedOn w:val="a"/>
    <w:link w:val="ac"/>
    <w:uiPriority w:val="99"/>
    <w:rsid w:val="00A503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306"/>
  </w:style>
  <w:style w:type="table" w:styleId="ad">
    <w:name w:val="Table Grid"/>
    <w:basedOn w:val="a1"/>
    <w:rsid w:val="0006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9912FD"/>
    <w:rPr>
      <w:rFonts w:ascii="Calibri" w:hAnsi="Calibri"/>
      <w:b/>
      <w:bCs/>
      <w:sz w:val="28"/>
      <w:szCs w:val="28"/>
    </w:rPr>
  </w:style>
  <w:style w:type="paragraph" w:styleId="ae">
    <w:name w:val="No Spacing"/>
    <w:uiPriority w:val="1"/>
    <w:qFormat/>
    <w:rsid w:val="005B01B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B01B9"/>
    <w:pPr>
      <w:autoSpaceDE w:val="0"/>
      <w:autoSpaceDN w:val="0"/>
    </w:pPr>
    <w:rPr>
      <w:rFonts w:eastAsia="Calibri"/>
      <w:sz w:val="24"/>
      <w:szCs w:val="24"/>
    </w:rPr>
  </w:style>
  <w:style w:type="character" w:styleId="af">
    <w:name w:val="Emphasis"/>
    <w:qFormat/>
    <w:rsid w:val="00EC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549D27330A603263E19D1420D172A473B65AAAECE294CF16DCF2B00EE0FBE3C28E276E962AD35f5W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9;&#1050;&#1080;&#104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УКиГС.dot</Template>
  <TotalTime>47</TotalTime>
  <Pages>1</Pages>
  <Words>228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1886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consultantplus://offline/ref=DE7549D27330A603263E19D1420D172A473B65AAAECE294CF16DCF2B00EE0FBE3C28E276E962AD35f5W5G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Гиновян Татьяна Юрьевна</cp:lastModifiedBy>
  <cp:revision>19</cp:revision>
  <cp:lastPrinted>2023-01-10T11:24:00Z</cp:lastPrinted>
  <dcterms:created xsi:type="dcterms:W3CDTF">2025-05-22T10:50:00Z</dcterms:created>
  <dcterms:modified xsi:type="dcterms:W3CDTF">2025-06-09T09:30:00Z</dcterms:modified>
</cp:coreProperties>
</file>