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19.xml"/>
  <Override ContentType="application/vnd.openxmlformats-officedocument.wordprocessingml.header+xml" PartName="/word/header2.xml"/>
  <Override ContentType="application/vnd.openxmlformats-officedocument.wordprocessingml.header+xml" PartName="/word/header20.xml"/>
  <Override ContentType="application/vnd.openxmlformats-officedocument.wordprocessingml.header+xml" PartName="/word/header21.xml"/>
  <Override ContentType="application/vnd.openxmlformats-officedocument.wordprocessingml.header+xml" PartName="/word/header22.xml"/>
  <Override ContentType="application/vnd.openxmlformats-officedocument.wordprocessingml.header+xml" PartName="/word/header23.xml"/>
  <Override ContentType="application/vnd.openxmlformats-officedocument.wordprocessingml.header+xml" PartName="/word/header24.xml"/>
  <Override ContentType="application/vnd.openxmlformats-officedocument.wordprocessingml.header+xml" PartName="/word/header25.xml"/>
  <Override ContentType="application/vnd.openxmlformats-officedocument.wordprocessingml.header+xml" PartName="/word/header26.xml"/>
  <Override ContentType="application/vnd.openxmlformats-officedocument.wordprocessingml.header+xml" PartName="/word/header27.xml"/>
  <Override ContentType="application/vnd.openxmlformats-officedocument.wordprocessingml.header+xml" PartName="/word/header28.xml"/>
  <Override ContentType="application/vnd.openxmlformats-officedocument.wordprocessingml.header+xml" PartName="/word/header29.xml"/>
  <Override ContentType="application/vnd.openxmlformats-officedocument.wordprocessingml.header+xml" PartName="/word/header3.xml"/>
  <Override ContentType="application/vnd.openxmlformats-officedocument.wordprocessingml.header+xml" PartName="/word/header30.xml"/>
  <Override ContentType="application/vnd.openxmlformats-officedocument.wordprocessingml.header+xml" PartName="/word/header31.xml"/>
  <Override ContentType="application/vnd.openxmlformats-officedocument.wordprocessingml.header+xml" PartName="/word/header32.xml"/>
  <Override ContentType="application/vnd.openxmlformats-officedocument.wordprocessingml.header+xml" PartName="/word/header3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43000000">
      <w:pPr>
        <w:widowControl w:val="0"/>
        <w:tabs>
          <w:tab w:leader="none" w:pos="709" w:val="left"/>
          <w:tab w:leader="none" w:pos="1276" w:val="left"/>
          <w:tab w:leader="none" w:pos="1418" w:val="left"/>
        </w:tabs>
        <w:ind/>
        <w:jc w:val="both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107950" distL="114300" distR="114300" distT="0" layoutInCell="true" locked="false" relativeHeight="251658240" simplePos="false">
                <wp:simplePos x="0" y="0"/>
                <wp:positionH relativeFrom="column">
                  <wp:posOffset>184785</wp:posOffset>
                </wp:positionH>
                <wp:positionV relativeFrom="paragraph">
                  <wp:posOffset>2475865</wp:posOffset>
                </wp:positionV>
                <wp:extent cx="3394709" cy="1696720"/>
                <wp:wrapTopAndBottom distB="107950" distT="0"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394709" cy="169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000000">
                            <w:pPr>
                              <w:pStyle w:val="Style_3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Об утверждении Порядка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предоставления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>в 2025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 году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субсидий субъектам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>малого предпринимат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ельства в сфере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промышленности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в Санкт-Петербурге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в целях возмещения части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затрат,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связанных с подготовкой,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переподготовкой и повышением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24"/>
                              </w:rPr>
                              <w:t xml:space="preserve">квалификации кадров </w:t>
                            </w:r>
                          </w:p>
                        </w:txbxContent>
                      </wps:txbx>
                      <wps:bodyPr anchor="t" bIns="0" lIns="0" rIns="0" tIns="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drawing>
          <wp:anchor allowOverlap="true" behindDoc="false" distB="107950" distL="114300" distR="114300" distT="0" layoutInCell="true" locked="false" relativeHeight="251658240" simplePos="false">
            <wp:simplePos x="0" y="0"/>
            <wp:positionH relativeFrom="page">
              <wp:posOffset>1080135</wp:posOffset>
            </wp:positionH>
            <wp:positionV relativeFrom="paragraph">
              <wp:posOffset>174625</wp:posOffset>
            </wp:positionV>
            <wp:extent cx="6389370" cy="2435860"/>
            <wp:effectExtent b="0" l="0" r="0" t="0"/>
            <wp:wrapTopAndBottom distB="107950" dist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4"/>
                    <a:srcRect b="0" l="12883" r="0" t="0"/>
                    <a:stretch/>
                  </pic:blipFill>
                  <pic:spPr>
                    <a:xfrm flipH="false" flipV="false" rot="0">
                      <a:ext cx="6389370" cy="243586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45000000">
      <w:pPr>
        <w:widowControl w:val="0"/>
        <w:tabs>
          <w:tab w:leader="none" w:pos="709" w:val="left"/>
          <w:tab w:leader="none" w:pos="1276" w:val="left"/>
          <w:tab w:leader="none" w:pos="1418" w:val="left"/>
        </w:tabs>
        <w:ind/>
        <w:jc w:val="both"/>
        <w:rPr>
          <w:color w:val="000000"/>
        </w:rPr>
      </w:pPr>
      <w:r>
        <w:tab/>
      </w:r>
      <w:r>
        <w:t xml:space="preserve">В соответствии </w:t>
      </w:r>
      <w:r>
        <w:t>с Бюджетным кодексом</w:t>
      </w:r>
      <w:r>
        <w:t xml:space="preserve">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</w:t>
      </w:r>
      <w:r>
        <w:t>,</w:t>
      </w:r>
      <w:r>
        <w:t xml:space="preserve"> и проведение отборов получателей указанных субсидий, </w:t>
      </w:r>
      <w:r>
        <w:br/>
      </w:r>
      <w:r>
        <w:t>в том числе грантов в форме субсидий, утвержденными постановлением Правительства Российской Федерации</w:t>
      </w:r>
      <w:r>
        <w:t xml:space="preserve"> от 25.10.2023 № 1782 </w:t>
      </w:r>
      <w:r>
        <w:t>(далее – общие требования)</w:t>
      </w:r>
      <w:r>
        <w:t xml:space="preserve">, </w:t>
      </w:r>
      <w:r>
        <w:t xml:space="preserve">Законом </w:t>
      </w:r>
      <w:r>
        <w:br/>
      </w:r>
      <w:r>
        <w:t xml:space="preserve">Санкт-Петербурга от 13.05.2009 № 221-47 «О промышленной </w:t>
      </w:r>
      <w:r>
        <w:rPr>
          <w:color w:val="000000"/>
        </w:rPr>
        <w:t xml:space="preserve">политике </w:t>
      </w:r>
      <w:r>
        <w:rPr>
          <w:color w:val="000000"/>
        </w:rPr>
        <w:br/>
      </w:r>
      <w:r>
        <w:rPr>
          <w:color w:val="000000"/>
        </w:rPr>
        <w:t>в Санкт-Петербурге»</w:t>
      </w:r>
      <w:r>
        <w:rPr>
          <w:color w:val="000000"/>
        </w:rPr>
        <w:t xml:space="preserve">, </w:t>
      </w:r>
      <w:r>
        <w:rPr>
          <w:color w:val="000000"/>
        </w:rPr>
        <w:t>Законом Санкт-Петербурга от 27.11.2024 № 730-165 «О бюджете Санкт-Петербурга на 2025 год и на плановый период 2</w:t>
      </w:r>
      <w:r>
        <w:rPr>
          <w:color w:val="000000"/>
        </w:rPr>
        <w:t xml:space="preserve">026 и 2027 годов», </w:t>
      </w:r>
      <w:r>
        <w:rPr>
          <w:color w:val="000000"/>
        </w:rPr>
        <w:t>постановлением Правительства Санкт-</w:t>
      </w:r>
      <w:r>
        <w:rPr>
          <w:color w:val="000000"/>
        </w:rPr>
        <w:t>Петербурга от 3</w:t>
      </w:r>
      <w:r>
        <w:rPr>
          <w:color w:val="000000"/>
        </w:rPr>
        <w:t>0</w:t>
      </w:r>
      <w:r>
        <w:rPr>
          <w:color w:val="000000"/>
        </w:rPr>
        <w:t xml:space="preserve">.06.2014 № </w:t>
      </w:r>
      <w:r>
        <w:rPr>
          <w:color w:val="000000"/>
        </w:rPr>
        <w:t>554</w:t>
      </w:r>
      <w:r>
        <w:rPr>
          <w:color w:val="000000"/>
        </w:rPr>
        <w:t xml:space="preserve"> </w:t>
      </w:r>
      <w:r>
        <w:rPr>
          <w:color w:val="000000"/>
        </w:rPr>
        <w:t>«О государственной программе Санкт-Петербурга «</w:t>
      </w:r>
      <w:r>
        <w:rPr>
          <w:color w:val="000000"/>
        </w:rPr>
        <w:t xml:space="preserve">Развитие предпринимательства и потребительского рынка </w:t>
      </w:r>
      <w:r>
        <w:rPr>
          <w:color w:val="000000"/>
        </w:rPr>
        <w:br/>
      </w:r>
      <w:r>
        <w:rPr>
          <w:color w:val="000000"/>
        </w:rPr>
        <w:t>в Санкт-Петербурге</w:t>
      </w:r>
      <w:r>
        <w:rPr>
          <w:color w:val="000000"/>
        </w:rPr>
        <w:t>»</w:t>
      </w:r>
      <w:r>
        <w:rPr>
          <w:color w:val="000000"/>
        </w:rPr>
        <w:t xml:space="preserve"> Правительство Санкт-Петербурга</w:t>
      </w:r>
    </w:p>
    <w:p w14:paraId="46000000">
      <w:pPr>
        <w:widowControl w:val="0"/>
        <w:tabs>
          <w:tab w:leader="none" w:pos="709" w:val="left"/>
          <w:tab w:leader="none" w:pos="1276" w:val="left"/>
          <w:tab w:leader="none" w:pos="1418" w:val="left"/>
        </w:tabs>
        <w:ind w:firstLine="567"/>
        <w:jc w:val="both"/>
        <w:rPr>
          <w:b w:val="1"/>
        </w:rPr>
      </w:pPr>
      <w:bookmarkStart w:id="1" w:name="_GoBack"/>
      <w:bookmarkEnd w:id="1"/>
    </w:p>
    <w:p w14:paraId="47000000">
      <w:pPr>
        <w:rPr>
          <w:b w:val="1"/>
        </w:rPr>
      </w:pPr>
      <w:r>
        <w:rPr>
          <w:b w:val="1"/>
        </w:rPr>
        <w:t>П О С Т А Н О В Л Я Е Т:</w:t>
      </w:r>
    </w:p>
    <w:p w14:paraId="48000000">
      <w:pPr>
        <w:widowControl w:val="1"/>
        <w:ind w:firstLine="709"/>
        <w:jc w:val="both"/>
        <w:outlineLvl w:val="0"/>
        <w:rPr>
          <w:b w:val="1"/>
          <w:i w:val="1"/>
          <w:sz w:val="16"/>
        </w:rPr>
      </w:pPr>
    </w:p>
    <w:p w14:paraId="49000000">
      <w:pPr>
        <w:pStyle w:val="Style_4"/>
        <w:widowControl w:val="1"/>
        <w:numPr>
          <w:ilvl w:val="0"/>
          <w:numId w:val="1"/>
        </w:numPr>
        <w:tabs>
          <w:tab w:leader="none" w:pos="993" w:val="left"/>
          <w:tab w:leader="none" w:pos="2127" w:val="left"/>
        </w:tabs>
        <w:ind w:firstLine="567" w:left="0"/>
        <w:jc w:val="both"/>
        <w:rPr>
          <w:color w:val="000000"/>
        </w:rPr>
      </w:pPr>
      <w:r>
        <w:rPr>
          <w:color w:val="000000"/>
        </w:rPr>
        <w:t xml:space="preserve">Утвердить Порядок предоставления </w:t>
      </w:r>
      <w:r>
        <w:t>в 202</w:t>
      </w:r>
      <w:r>
        <w:t>5</w:t>
      </w:r>
      <w:r>
        <w:t xml:space="preserve"> году</w:t>
      </w:r>
      <w:r>
        <w:t xml:space="preserve"> </w:t>
      </w:r>
      <w:r>
        <w:rPr>
          <w:color w:val="000000"/>
        </w:rPr>
        <w:t xml:space="preserve">субсидий субъектам малого предпринимательства в сфере </w:t>
      </w:r>
      <w:r>
        <w:rPr>
          <w:color w:val="000000"/>
        </w:rPr>
        <w:t>промышленности</w:t>
      </w:r>
      <w:r>
        <w:rPr>
          <w:color w:val="000000"/>
        </w:rPr>
        <w:t xml:space="preserve"> в Санкт-Петербурге в целях возмещения части затрат, связанных </w:t>
      </w:r>
      <w:r>
        <w:rPr>
          <w:color w:val="000000"/>
        </w:rPr>
        <w:t>с подготовкой, переподготовкой и повышением квалификации кадров</w:t>
      </w:r>
      <w:r>
        <w:rPr>
          <w:color w:val="000000"/>
        </w:rPr>
        <w:t xml:space="preserve"> (далее – Порядок), с</w:t>
      </w:r>
      <w:r>
        <w:rPr>
          <w:color w:val="000000"/>
        </w:rPr>
        <w:t>огласно приложению.</w:t>
      </w:r>
    </w:p>
    <w:p w14:paraId="4A000000">
      <w:pPr>
        <w:pStyle w:val="Style_4"/>
        <w:widowControl w:val="1"/>
        <w:numPr>
          <w:ilvl w:val="0"/>
          <w:numId w:val="1"/>
        </w:numPr>
        <w:tabs>
          <w:tab w:leader="none" w:pos="993" w:val="left"/>
          <w:tab w:leader="none" w:pos="2127" w:val="left"/>
        </w:tabs>
        <w:ind w:firstLine="567" w:left="0"/>
        <w:jc w:val="both"/>
        <w:rPr>
          <w:color w:val="000000"/>
        </w:rPr>
      </w:pPr>
      <w:r>
        <w:t>Комитету по промышленной п</w:t>
      </w:r>
      <w:r>
        <w:t xml:space="preserve">олитике, инновациям и торговле </w:t>
      </w:r>
      <w:r>
        <w:br/>
      </w:r>
      <w:r>
        <w:t xml:space="preserve">Санкт-Петербурга (далее – Комитет) </w:t>
      </w:r>
      <w:r>
        <w:t xml:space="preserve">в месячный срок </w:t>
      </w:r>
      <w:r>
        <w:t xml:space="preserve">в соответствии с подпунктом </w:t>
      </w:r>
      <w:r>
        <w:br/>
      </w:r>
      <w:r>
        <w:t>2 пункта 2 статьи 78 Бюджетного</w:t>
      </w:r>
      <w:r>
        <w:t xml:space="preserve"> кодекса Росси</w:t>
      </w:r>
      <w:r>
        <w:t xml:space="preserve">йской Федерации и </w:t>
      </w:r>
      <w:r>
        <w:t xml:space="preserve">общими требованиями </w:t>
      </w:r>
      <w:r>
        <w:br/>
      </w:r>
      <w:r>
        <w:t>в целях реализации Порядка</w:t>
      </w:r>
      <w:r>
        <w:t xml:space="preserve"> принять </w:t>
      </w:r>
      <w:r>
        <w:t xml:space="preserve">нормативный </w:t>
      </w:r>
      <w:r>
        <w:t>правовой акт, регулирующий отдельные вопросы предоставления суб</w:t>
      </w:r>
      <w:r>
        <w:t>сидий</w:t>
      </w:r>
      <w:r>
        <w:t xml:space="preserve"> в соответствии с Порядком (далее – субсидии)</w:t>
      </w:r>
      <w:r>
        <w:t>, которым установить:</w:t>
      </w:r>
    </w:p>
    <w:p w14:paraId="4B000000">
      <w:pPr>
        <w:pStyle w:val="Style_4"/>
        <w:widowControl w:val="1"/>
        <w:tabs>
          <w:tab w:leader="none" w:pos="993" w:val="left"/>
          <w:tab w:leader="none" w:pos="2127" w:val="left"/>
        </w:tabs>
        <w:ind w:firstLine="567" w:left="0"/>
        <w:jc w:val="both"/>
      </w:pPr>
      <w:r>
        <w:t>срок размещения на веб-странице Комитета на официальном сайте Администрации Санкт-Петербурга в информационно-телекоммуникационной сети «Интернет»</w:t>
      </w:r>
      <w:r>
        <w:t xml:space="preserve"> </w:t>
      </w:r>
      <w:r>
        <w:br/>
      </w:r>
      <w:r>
        <w:t>(далее – сеть «И</w:t>
      </w:r>
      <w:r>
        <w:t>нтернет</w:t>
      </w:r>
      <w:r>
        <w:t>»</w:t>
      </w:r>
      <w:r>
        <w:t>)</w:t>
      </w:r>
      <w:r>
        <w:t xml:space="preserve"> по адресу </w:t>
      </w:r>
      <w:r>
        <w:t>www</w:t>
      </w:r>
      <w:r>
        <w:t>.</w:t>
      </w:r>
      <w:r>
        <w:t>gov</w:t>
      </w:r>
      <w:r>
        <w:t>.</w:t>
      </w:r>
      <w:r>
        <w:t>spb</w:t>
      </w:r>
      <w:r>
        <w:t>.</w:t>
      </w:r>
      <w:r>
        <w:t>ru</w:t>
      </w:r>
      <w:r>
        <w:t>/</w:t>
      </w:r>
      <w:r>
        <w:t>gov</w:t>
      </w:r>
      <w:r>
        <w:t>/</w:t>
      </w:r>
      <w:r>
        <w:t>otrasl</w:t>
      </w:r>
      <w:r>
        <w:t>/</w:t>
      </w:r>
      <w:r>
        <w:t>c</w:t>
      </w:r>
      <w:r>
        <w:t>_</w:t>
      </w:r>
      <w:r>
        <w:t>industrial</w:t>
      </w:r>
      <w:r>
        <w:t>_</w:t>
      </w:r>
      <w:r>
        <w:t>and</w:t>
      </w:r>
      <w:r>
        <w:t>_</w:t>
      </w:r>
      <w:r>
        <w:t>trade</w:t>
      </w:r>
      <w:r>
        <w:t>/</w:t>
      </w:r>
      <w:r>
        <w:t>,</w:t>
      </w:r>
      <w:r>
        <w:t xml:space="preserve"> </w:t>
      </w:r>
      <w:r>
        <w:br/>
      </w:r>
      <w:r>
        <w:t xml:space="preserve">на официальном сайте Комитета в </w:t>
      </w:r>
      <w:r>
        <w:t xml:space="preserve">сети </w:t>
      </w:r>
      <w:r>
        <w:t xml:space="preserve">«Интернет» по адресу </w:t>
      </w:r>
      <w:r>
        <w:t>www</w:t>
      </w:r>
      <w:r>
        <w:t>.</w:t>
      </w:r>
      <w:r>
        <w:t>cipit</w:t>
      </w:r>
      <w:r>
        <w:t>.</w:t>
      </w:r>
      <w:r>
        <w:t>gov</w:t>
      </w:r>
      <w:r>
        <w:t>.</w:t>
      </w:r>
      <w:r>
        <w:t>spb</w:t>
      </w:r>
      <w:r>
        <w:t>/</w:t>
      </w:r>
      <w:r>
        <w:t>ru</w:t>
      </w:r>
      <w:r>
        <w:t xml:space="preserve">, </w:t>
      </w:r>
      <w:r>
        <w:br/>
      </w:r>
      <w:r>
        <w:t>а также в подсистеме «Площадка отбора получателей субсидий» Автоматизированной информационной систем</w:t>
      </w:r>
      <w:r>
        <w:t>ы</w:t>
      </w:r>
      <w:r>
        <w:t xml:space="preserve"> бюджетного процесса – электронно</w:t>
      </w:r>
      <w:r>
        <w:t>го</w:t>
      </w:r>
      <w:r>
        <w:t xml:space="preserve"> казначейств</w:t>
      </w:r>
      <w:r>
        <w:t>а по адресу</w:t>
      </w:r>
      <w:r>
        <w:t xml:space="preserve"> </w:t>
      </w:r>
      <w:r>
        <w:t>https</w:t>
      </w:r>
      <w:r>
        <w:t>://</w:t>
      </w:r>
      <w:r>
        <w:t>edo</w:t>
      </w:r>
      <w:r>
        <w:t>.</w:t>
      </w:r>
      <w:r>
        <w:t>fincom</w:t>
      </w:r>
      <w:r>
        <w:t>.</w:t>
      </w:r>
      <w:r>
        <w:t>gov</w:t>
      </w:r>
      <w:r>
        <w:t>.</w:t>
      </w:r>
      <w:r>
        <w:t>spb</w:t>
      </w:r>
      <w:r>
        <w:t>.</w:t>
      </w:r>
      <w:r>
        <w:t>ru</w:t>
      </w:r>
      <w:r>
        <w:t>/</w:t>
      </w:r>
      <w:r>
        <w:t>subsidy</w:t>
      </w:r>
      <w:r>
        <w:t>-</w:t>
      </w:r>
      <w:r>
        <w:t>lk</w:t>
      </w:r>
      <w:r>
        <w:t xml:space="preserve"> </w:t>
      </w:r>
      <w:r>
        <w:t>объявлени</w:t>
      </w:r>
      <w:r>
        <w:t>я</w:t>
      </w:r>
      <w:r>
        <w:t xml:space="preserve"> о проведении отбора на право получения субсидий</w:t>
      </w:r>
      <w:r>
        <w:t xml:space="preserve"> (далее – объявлени</w:t>
      </w:r>
      <w:r>
        <w:t>е</w:t>
      </w:r>
      <w:r>
        <w:t>)</w:t>
      </w:r>
      <w:r>
        <w:t xml:space="preserve"> с указанием информации в соо</w:t>
      </w:r>
      <w:r>
        <w:t>тветствии с пунктом 2.2 Порядка;</w:t>
      </w:r>
    </w:p>
    <w:p w14:paraId="4C000000">
      <w:pPr>
        <w:pStyle w:val="Style_4"/>
        <w:widowControl w:val="1"/>
        <w:tabs>
          <w:tab w:leader="none" w:pos="993" w:val="left"/>
          <w:tab w:leader="none" w:pos="2127" w:val="left"/>
        </w:tabs>
        <w:ind w:firstLine="567" w:left="0"/>
        <w:jc w:val="both"/>
        <w:rPr>
          <w:color w:val="000000"/>
        </w:rPr>
      </w:pPr>
      <w:r>
        <w:t>порядок</w:t>
      </w:r>
      <w:r>
        <w:t xml:space="preserve"> внесения изменений </w:t>
      </w:r>
      <w:r>
        <w:t>в объявление</w:t>
      </w:r>
      <w:r>
        <w:t>.</w:t>
      </w:r>
    </w:p>
    <w:p w14:paraId="4D000000">
      <w:pPr>
        <w:pStyle w:val="Style_4"/>
        <w:widowControl w:val="1"/>
        <w:numPr>
          <w:ilvl w:val="0"/>
          <w:numId w:val="1"/>
        </w:numPr>
        <w:tabs>
          <w:tab w:leader="none" w:pos="993" w:val="left"/>
          <w:tab w:leader="none" w:pos="2127" w:val="left"/>
        </w:tabs>
        <w:ind w:firstLine="567" w:left="0"/>
        <w:jc w:val="both"/>
        <w:rPr>
          <w:color w:val="000000"/>
        </w:rPr>
      </w:pPr>
      <w:r>
        <w:rPr>
          <w:color w:val="000000"/>
        </w:rPr>
        <w:t>Ко</w:t>
      </w:r>
      <w:r>
        <w:rPr>
          <w:color w:val="000000"/>
        </w:rPr>
        <w:t>нтроль за выполнением постановления</w:t>
      </w:r>
      <w:r>
        <w:rPr>
          <w:color w:val="000000"/>
        </w:rPr>
        <w:t xml:space="preserve"> возложить на вице-губернатора </w:t>
      </w:r>
      <w:r>
        <w:rPr>
          <w:color w:val="000000"/>
        </w:rPr>
        <w:br/>
      </w:r>
      <w:r>
        <w:rPr>
          <w:color w:val="000000"/>
        </w:rPr>
        <w:t>Санкт-Петербурга Полякова К.В.</w:t>
      </w:r>
    </w:p>
    <w:p w14:paraId="4E000000">
      <w:pPr>
        <w:widowControl w:val="1"/>
        <w:tabs>
          <w:tab w:leader="none" w:pos="1843" w:val="left"/>
          <w:tab w:leader="none" w:pos="2127" w:val="left"/>
        </w:tabs>
        <w:ind w:firstLine="567"/>
        <w:jc w:val="both"/>
        <w:rPr>
          <w:color w:val="000000"/>
        </w:rPr>
      </w:pPr>
    </w:p>
    <w:p w14:paraId="4F000000">
      <w:pPr>
        <w:widowControl w:val="1"/>
        <w:tabs>
          <w:tab w:leader="none" w:pos="1843" w:val="left"/>
          <w:tab w:leader="none" w:pos="2127" w:val="left"/>
        </w:tabs>
        <w:ind w:firstLine="567"/>
        <w:jc w:val="both"/>
        <w:rPr>
          <w:color w:val="000000"/>
        </w:rPr>
      </w:pPr>
    </w:p>
    <w:p w14:paraId="50000000">
      <w:pPr>
        <w:widowControl w:val="1"/>
        <w:tabs>
          <w:tab w:leader="none" w:pos="1843" w:val="left"/>
          <w:tab w:leader="none" w:pos="2127" w:val="left"/>
        </w:tabs>
        <w:ind w:firstLine="567"/>
        <w:jc w:val="both"/>
        <w:rPr>
          <w:color w:val="000000"/>
        </w:rPr>
      </w:pPr>
    </w:p>
    <w:p w14:paraId="51000000">
      <w:pPr>
        <w:widowControl w:val="1"/>
        <w:tabs>
          <w:tab w:leader="none" w:pos="1843" w:val="left"/>
          <w:tab w:leader="none" w:pos="2127" w:val="left"/>
        </w:tabs>
        <w:ind w:firstLine="567"/>
        <w:jc w:val="both"/>
        <w:rPr>
          <w:color w:val="000000"/>
        </w:rPr>
      </w:pPr>
      <w:r>
        <w:rPr>
          <w:b w:val="1"/>
          <w:color w:val="000000"/>
        </w:rPr>
        <w:t xml:space="preserve">Губернатор </w:t>
      </w:r>
    </w:p>
    <w:p w14:paraId="52000000">
      <w:pPr>
        <w:rPr>
          <w:b w:val="1"/>
          <w:color w:val="000000"/>
        </w:rPr>
      </w:pPr>
      <w:r>
        <w:rPr>
          <w:b w:val="1"/>
          <w:color w:val="000000"/>
        </w:rPr>
        <w:t xml:space="preserve">    Санкт-Петербурга </w:t>
      </w:r>
      <w:r>
        <w:rPr>
          <w:b w:val="1"/>
          <w:color w:val="000000"/>
        </w:rPr>
        <w:tab/>
      </w:r>
      <w:r>
        <w:rPr>
          <w:b w:val="1"/>
          <w:color w:val="000000"/>
        </w:rPr>
        <w:tab/>
      </w:r>
      <w:r>
        <w:rPr>
          <w:b w:val="1"/>
          <w:color w:val="000000"/>
        </w:rPr>
        <w:tab/>
      </w:r>
      <w:r>
        <w:rPr>
          <w:b w:val="1"/>
          <w:color w:val="000000"/>
        </w:rPr>
        <w:tab/>
      </w:r>
      <w:r>
        <w:rPr>
          <w:b w:val="1"/>
          <w:color w:val="000000"/>
        </w:rPr>
        <w:t xml:space="preserve">                                                А.Д.Беглов</w:t>
      </w:r>
    </w:p>
    <w:p w14:paraId="53000000">
      <w:pPr>
        <w:sectPr>
          <w:headerReference r:id="rId10" w:type="default"/>
          <w:headerReference r:id="rId12" w:type="first"/>
          <w:headerReference r:id="rId32" w:type="even"/>
          <w:type w:val="continuous"/>
          <w:pgSz w:h="16838" w:orient="portrait" w:w="11906"/>
          <w:pgMar w:bottom="1134" w:footer="709" w:gutter="0" w:header="709" w:left="1701" w:right="851" w:top="1134"/>
          <w:titlePg/>
        </w:sectPr>
      </w:pPr>
    </w:p>
    <w:p w14:paraId="54000000">
      <w:pPr>
        <w:pStyle w:val="Style_5"/>
        <w:widowControl w:val="1"/>
        <w:ind w:left="5812"/>
        <w:rPr>
          <w:rStyle w:val="Style_6_ch"/>
          <w:color w:val="000000"/>
          <w:sz w:val="24"/>
        </w:rPr>
      </w:pPr>
      <w:r>
        <w:rPr>
          <w:rStyle w:val="Style_6_ch"/>
          <w:color w:val="000000"/>
          <w:sz w:val="24"/>
        </w:rPr>
        <w:t xml:space="preserve">Приложение </w:t>
      </w:r>
    </w:p>
    <w:p w14:paraId="55000000">
      <w:pPr>
        <w:pStyle w:val="Style_5"/>
        <w:widowControl w:val="1"/>
        <w:ind w:left="5812"/>
        <w:rPr>
          <w:rStyle w:val="Style_6_ch"/>
          <w:color w:val="000000"/>
          <w:sz w:val="24"/>
        </w:rPr>
      </w:pPr>
      <w:r>
        <w:rPr>
          <w:rStyle w:val="Style_6_ch"/>
          <w:color w:val="000000"/>
          <w:sz w:val="24"/>
        </w:rPr>
        <w:t xml:space="preserve">к постановлению </w:t>
      </w:r>
      <w:r>
        <w:rPr>
          <w:rStyle w:val="Style_6_ch"/>
          <w:color w:val="000000"/>
          <w:sz w:val="24"/>
        </w:rPr>
        <w:br/>
      </w:r>
      <w:r>
        <w:rPr>
          <w:rStyle w:val="Style_6_ch"/>
          <w:color w:val="000000"/>
          <w:sz w:val="24"/>
        </w:rPr>
        <w:t xml:space="preserve">Правительства </w:t>
      </w:r>
      <w:r>
        <w:rPr>
          <w:rStyle w:val="Style_6_ch"/>
          <w:color w:val="000000"/>
          <w:sz w:val="24"/>
        </w:rPr>
        <w:t xml:space="preserve">Санкт-Петербурга </w:t>
      </w:r>
    </w:p>
    <w:p w14:paraId="56000000">
      <w:pPr>
        <w:pStyle w:val="Style_5"/>
        <w:widowControl w:val="1"/>
        <w:ind w:left="5812"/>
        <w:rPr>
          <w:rStyle w:val="Style_6_ch"/>
          <w:color w:val="000000"/>
        </w:rPr>
      </w:pPr>
      <w:r>
        <w:rPr>
          <w:rStyle w:val="Style_6_ch"/>
          <w:color w:val="000000"/>
        </w:rPr>
        <w:t>от ___________ № __________</w:t>
      </w:r>
    </w:p>
    <w:p w14:paraId="57000000">
      <w:pPr>
        <w:pStyle w:val="Style_5"/>
        <w:widowControl w:val="1"/>
        <w:ind w:left="5812"/>
        <w:rPr>
          <w:rStyle w:val="Style_6_ch"/>
          <w:color w:val="000000"/>
        </w:rPr>
      </w:pPr>
    </w:p>
    <w:p w14:paraId="58000000">
      <w:pPr>
        <w:pStyle w:val="Style_5"/>
        <w:widowControl w:val="1"/>
        <w:ind w:left="5812"/>
        <w:rPr>
          <w:rStyle w:val="Style_6_ch"/>
          <w:color w:val="000000"/>
        </w:rPr>
      </w:pPr>
    </w:p>
    <w:p w14:paraId="59000000">
      <w:pPr>
        <w:pStyle w:val="Style_5"/>
        <w:widowControl w:val="1"/>
        <w:ind w:left="5812"/>
        <w:rPr>
          <w:rStyle w:val="Style_6_ch"/>
          <w:color w:val="000000"/>
        </w:rPr>
      </w:pPr>
    </w:p>
    <w:p w14:paraId="5A000000">
      <w:pPr>
        <w:widowControl w:val="0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ПОРЯДОК</w:t>
      </w:r>
    </w:p>
    <w:p w14:paraId="5B000000">
      <w:pPr>
        <w:widowControl w:val="0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предоставления </w:t>
      </w:r>
      <w:r>
        <w:rPr>
          <w:b w:val="1"/>
          <w:color w:val="000000"/>
        </w:rPr>
        <w:t>в 202</w:t>
      </w:r>
      <w:r>
        <w:rPr>
          <w:b w:val="1"/>
          <w:color w:val="000000"/>
        </w:rPr>
        <w:t>5</w:t>
      </w:r>
      <w:r>
        <w:rPr>
          <w:b w:val="1"/>
          <w:color w:val="000000"/>
        </w:rPr>
        <w:t xml:space="preserve"> году </w:t>
      </w:r>
      <w:r>
        <w:rPr>
          <w:b w:val="1"/>
          <w:color w:val="000000"/>
        </w:rPr>
        <w:t xml:space="preserve">субсидий субъектам малого предпринимательства </w:t>
      </w:r>
      <w:r>
        <w:rPr>
          <w:b w:val="1"/>
          <w:color w:val="000000"/>
        </w:rPr>
        <w:br/>
      </w:r>
      <w:r>
        <w:rPr>
          <w:b w:val="1"/>
          <w:color w:val="000000"/>
        </w:rPr>
        <w:t>в сфере промышленности</w:t>
      </w:r>
      <w:r>
        <w:rPr>
          <w:b w:val="1"/>
          <w:color w:val="000000"/>
        </w:rPr>
        <w:t xml:space="preserve"> в Санкт-Петербурге в целях возмещения </w:t>
      </w:r>
      <w:r>
        <w:rPr>
          <w:b w:val="1"/>
          <w:color w:val="000000"/>
        </w:rPr>
        <w:br/>
      </w:r>
      <w:r>
        <w:rPr>
          <w:b w:val="1"/>
          <w:color w:val="000000"/>
        </w:rPr>
        <w:t xml:space="preserve">части затрат, связанных </w:t>
      </w:r>
      <w:r>
        <w:rPr>
          <w:b w:val="1"/>
          <w:color w:val="000000"/>
        </w:rPr>
        <w:t xml:space="preserve">подготовкой, переподготовкой </w:t>
      </w:r>
      <w:r>
        <w:rPr>
          <w:b w:val="1"/>
          <w:color w:val="000000"/>
        </w:rPr>
        <w:br/>
      </w:r>
      <w:r>
        <w:rPr>
          <w:b w:val="1"/>
          <w:color w:val="000000"/>
        </w:rPr>
        <w:t>и повышением квалификации кадров</w:t>
      </w:r>
    </w:p>
    <w:p w14:paraId="5C000000">
      <w:pPr>
        <w:widowControl w:val="0"/>
        <w:ind w:left="720"/>
        <w:contextualSpacing w:val="1"/>
        <w:rPr>
          <w:b w:val="1"/>
          <w:color w:val="000000"/>
        </w:rPr>
      </w:pPr>
    </w:p>
    <w:p w14:paraId="5D000000">
      <w:pPr>
        <w:widowControl w:val="0"/>
        <w:numPr>
          <w:ilvl w:val="0"/>
          <w:numId w:val="2"/>
        </w:numPr>
        <w:ind/>
        <w:contextualSpacing w:val="1"/>
        <w:jc w:val="center"/>
        <w:rPr>
          <w:b w:val="1"/>
          <w:color w:val="000000"/>
        </w:rPr>
      </w:pPr>
      <w:r>
        <w:rPr>
          <w:b w:val="1"/>
          <w:color w:val="000000"/>
        </w:rPr>
        <w:t>Общие положения</w:t>
      </w:r>
    </w:p>
    <w:p w14:paraId="5E000000">
      <w:pPr>
        <w:widowControl w:val="1"/>
        <w:tabs>
          <w:tab w:leader="none" w:pos="709" w:val="left"/>
          <w:tab w:leader="none" w:pos="851" w:val="left"/>
          <w:tab w:leader="none" w:pos="993" w:val="left"/>
        </w:tabs>
        <w:ind w:firstLine="709"/>
        <w:jc w:val="both"/>
        <w:rPr>
          <w:color w:val="000000"/>
        </w:rPr>
      </w:pPr>
    </w:p>
    <w:p w14:paraId="5F000000">
      <w:pPr>
        <w:widowControl w:val="1"/>
        <w:numPr>
          <w:ilvl w:val="1"/>
          <w:numId w:val="3"/>
        </w:numPr>
        <w:tabs>
          <w:tab w:leader="none" w:pos="709" w:val="left"/>
          <w:tab w:leader="none" w:pos="851" w:val="left"/>
          <w:tab w:leader="none" w:pos="993" w:val="left"/>
        </w:tabs>
        <w:ind w:firstLine="567" w:left="0"/>
        <w:jc w:val="both"/>
        <w:rPr>
          <w:color w:val="000000"/>
        </w:rPr>
      </w:pPr>
      <w:r>
        <w:rPr>
          <w:color w:val="000000"/>
        </w:rPr>
        <w:t xml:space="preserve">Настоящий Порядок устанавливает правила предоставления </w:t>
      </w:r>
      <w:r>
        <w:rPr>
          <w:color w:val="000000"/>
        </w:rPr>
        <w:t>в 202</w:t>
      </w:r>
      <w:r>
        <w:rPr>
          <w:color w:val="000000"/>
        </w:rPr>
        <w:t>5</w:t>
      </w:r>
      <w:r>
        <w:rPr>
          <w:color w:val="000000"/>
        </w:rPr>
        <w:t xml:space="preserve"> </w:t>
      </w:r>
      <w:r>
        <w:rPr>
          <w:color w:val="000000"/>
        </w:rPr>
        <w:t>году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</w:rPr>
        <w:t>субсидий, предусмотренных Комитету по про</w:t>
      </w:r>
      <w:r>
        <w:rPr>
          <w:color w:val="000000"/>
        </w:rPr>
        <w:t xml:space="preserve">мышленной политике, инновациям </w:t>
      </w:r>
      <w:r>
        <w:rPr>
          <w:color w:val="000000"/>
        </w:rPr>
        <w:br/>
      </w:r>
      <w:r>
        <w:rPr>
          <w:color w:val="000000"/>
        </w:rPr>
        <w:t>и торговле Санкт-Петербурга (далее – Ком</w:t>
      </w:r>
      <w:r>
        <w:rPr>
          <w:color w:val="000000"/>
        </w:rPr>
        <w:t xml:space="preserve">итет) статьей расходов бюджета </w:t>
      </w:r>
      <w:r>
        <w:rPr>
          <w:color w:val="000000"/>
        </w:rPr>
        <w:br/>
      </w:r>
      <w:r>
        <w:rPr>
          <w:color w:val="000000"/>
        </w:rPr>
        <w:t>Санкт-Петербурга «</w:t>
      </w:r>
      <w:r>
        <w:rPr>
          <w:color w:val="000000"/>
        </w:rPr>
        <w:t xml:space="preserve">Субсидии субъектам малого предпринимательства в сфере промышленности в Санкт-Петербурге, в целях возмещения части затрат, связанных </w:t>
      </w:r>
      <w:r>
        <w:rPr>
          <w:color w:val="000000"/>
        </w:rPr>
        <w:br/>
      </w:r>
      <w:r>
        <w:rPr>
          <w:color w:val="000000"/>
        </w:rPr>
        <w:t>с подготовкой, переподготовкой и повышением квалификации кадров</w:t>
      </w:r>
      <w:r>
        <w:rPr>
          <w:color w:themeColor="text1" w:val="000000"/>
        </w:rPr>
        <w:t xml:space="preserve">» (код целевой </w:t>
      </w:r>
      <w:r>
        <w:rPr>
          <w:color w:themeColor="text1" w:val="000000"/>
        </w:rPr>
        <w:br/>
      </w:r>
      <w:r>
        <w:rPr>
          <w:color w:themeColor="text1" w:val="000000"/>
        </w:rPr>
        <w:t xml:space="preserve">статьи </w:t>
      </w:r>
      <w:r>
        <w:t>1450068100</w:t>
      </w:r>
      <w:r>
        <w:rPr>
          <w:color w:themeColor="text1" w:val="000000"/>
        </w:rPr>
        <w:t xml:space="preserve">) в приложении 2 </w:t>
      </w:r>
      <w:r>
        <w:rPr>
          <w:color w:themeColor="text1" w:val="000000"/>
        </w:rPr>
        <w:t xml:space="preserve">к Закону </w:t>
      </w:r>
      <w:r>
        <w:rPr>
          <w:color w:val="000000"/>
          <w:spacing w:val="2"/>
          <w:highlight w:val="white"/>
        </w:rPr>
        <w:t>Санкт-Петербурга от</w:t>
      </w:r>
      <w:r>
        <w:t xml:space="preserve"> </w:t>
      </w:r>
      <w:r>
        <w:t>27.11</w:t>
      </w:r>
      <w:r>
        <w:t>.2024</w:t>
      </w:r>
      <w:r>
        <w:t xml:space="preserve"> </w:t>
      </w:r>
      <w:r>
        <w:br/>
      </w:r>
      <w:r>
        <w:t xml:space="preserve">№ </w:t>
      </w:r>
      <w:r>
        <w:t>730-165</w:t>
      </w:r>
      <w:r>
        <w:t xml:space="preserve"> «</w:t>
      </w:r>
      <w:r>
        <w:t xml:space="preserve">О бюджете Санкт-Петербурга на 2025 год и на плановый период 2026 </w:t>
      </w:r>
      <w:r>
        <w:br/>
      </w:r>
      <w:r>
        <w:t>и 2027 годов</w:t>
      </w:r>
      <w:r>
        <w:t>»</w:t>
      </w:r>
      <w:r>
        <w:t xml:space="preserve"> </w:t>
      </w:r>
      <w:r>
        <w:t>(далее – Закон о бюджете)</w:t>
      </w:r>
      <w:r>
        <w:rPr>
          <w:color w:themeColor="text1" w:val="000000"/>
        </w:rPr>
        <w:t>,</w:t>
      </w:r>
      <w:r>
        <w:rPr>
          <w:color w:val="000000"/>
        </w:rPr>
        <w:t xml:space="preserve"> в соответствии с государственной </w:t>
      </w:r>
      <w:r>
        <w:rPr>
          <w:color w:val="000000"/>
        </w:rPr>
        <w:br/>
      </w:r>
      <w:r>
        <w:rPr>
          <w:color w:val="000000"/>
        </w:rPr>
        <w:t>программ</w:t>
      </w:r>
      <w:r>
        <w:rPr>
          <w:color w:themeColor="text1" w:val="000000"/>
        </w:rPr>
        <w:t>ой</w:t>
      </w:r>
      <w:r>
        <w:rPr>
          <w:color w:val="000000"/>
        </w:rPr>
        <w:t xml:space="preserve"> Санкт-Петербурга «</w:t>
      </w:r>
      <w:r>
        <w:t xml:space="preserve">Развитие предпринимательства и потребительского рынка </w:t>
      </w:r>
      <w:r>
        <w:br/>
      </w:r>
      <w:r>
        <w:t>в Санкт-Петербурге</w:t>
      </w:r>
      <w:r>
        <w:rPr>
          <w:color w:val="000000"/>
        </w:rPr>
        <w:t>», утвержденной постановлением Правительства Санкт-</w:t>
      </w:r>
      <w:r>
        <w:rPr>
          <w:color w:val="000000"/>
        </w:rPr>
        <w:t xml:space="preserve">Петербурга </w:t>
      </w:r>
      <w:r>
        <w:rPr>
          <w:color w:val="000000"/>
        </w:rPr>
        <w:br/>
      </w:r>
      <w:r>
        <w:rPr>
          <w:color w:val="000000"/>
        </w:rPr>
        <w:t>от 3</w:t>
      </w:r>
      <w:r>
        <w:rPr>
          <w:color w:val="000000"/>
        </w:rPr>
        <w:t>0</w:t>
      </w:r>
      <w:r>
        <w:rPr>
          <w:color w:val="000000"/>
        </w:rPr>
        <w:t xml:space="preserve">.06.2014 № </w:t>
      </w:r>
      <w:r>
        <w:t>5</w:t>
      </w:r>
      <w:r>
        <w:t>54</w:t>
      </w:r>
      <w:r>
        <w:t xml:space="preserve"> </w:t>
      </w:r>
      <w:r>
        <w:t xml:space="preserve">(далее </w:t>
      </w:r>
      <w:r>
        <w:t xml:space="preserve">соответственно </w:t>
      </w:r>
      <w:r>
        <w:t>–</w:t>
      </w:r>
      <w:r>
        <w:t xml:space="preserve"> </w:t>
      </w:r>
      <w:r>
        <w:t>субсидии</w:t>
      </w:r>
      <w:r>
        <w:t>,</w:t>
      </w:r>
      <w:r>
        <w:t xml:space="preserve"> Государственная программа</w:t>
      </w:r>
      <w:r>
        <w:rPr>
          <w:color w:val="000000"/>
        </w:rPr>
        <w:t>).</w:t>
      </w:r>
    </w:p>
    <w:p w14:paraId="60000000">
      <w:pPr>
        <w:pStyle w:val="Style_7"/>
        <w:widowControl w:val="1"/>
        <w:tabs>
          <w:tab w:leader="none" w:pos="709" w:val="left"/>
          <w:tab w:leader="none" w:pos="851" w:val="left"/>
          <w:tab w:leader="none" w:pos="993" w:val="left"/>
        </w:tabs>
        <w:ind w:firstLine="567"/>
        <w:contextualSpacing w:val="1"/>
        <w:jc w:val="both"/>
      </w:pPr>
      <w: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«Интернет» </w:t>
      </w:r>
      <w:r>
        <w:br/>
      </w:r>
      <w:r>
        <w:t>(далее соответственно –</w:t>
      </w:r>
      <w:r>
        <w:t xml:space="preserve"> </w:t>
      </w:r>
      <w:r>
        <w:t>е</w:t>
      </w:r>
      <w:r>
        <w:t>диный портал</w:t>
      </w:r>
      <w:r>
        <w:t>,</w:t>
      </w:r>
      <w:r>
        <w:t xml:space="preserve"> </w:t>
      </w:r>
      <w:r>
        <w:t>сеть «Интернет»</w:t>
      </w:r>
      <w:r>
        <w:t>) в порядке, установленном Министерством финансов Российской Федерации.</w:t>
      </w:r>
    </w:p>
    <w:p w14:paraId="61000000">
      <w:pPr>
        <w:pStyle w:val="Style_4"/>
        <w:widowControl w:val="1"/>
        <w:numPr>
          <w:ilvl w:val="1"/>
          <w:numId w:val="3"/>
        </w:numPr>
        <w:tabs>
          <w:tab w:leader="none" w:pos="1134" w:val="left"/>
        </w:tabs>
        <w:ind w:firstLine="567" w:left="0"/>
        <w:jc w:val="both"/>
      </w:pPr>
      <w:r>
        <w:t>Для целей настоящего Порядка используемые в нем понятия (термины)</w:t>
      </w:r>
      <w:r>
        <w:t xml:space="preserve">, включая их сокращения, </w:t>
      </w:r>
      <w:r>
        <w:t>применяются в следующих значениях:</w:t>
      </w:r>
    </w:p>
    <w:p w14:paraId="62000000">
      <w:pPr>
        <w:widowControl w:val="1"/>
        <w:ind w:firstLine="567"/>
        <w:jc w:val="both"/>
        <w:rPr>
          <w:color w:themeColor="text1" w:val="000000"/>
        </w:rPr>
      </w:pPr>
      <w:r>
        <w:t>субъекты малого предпринимат</w:t>
      </w:r>
      <w:r>
        <w:t xml:space="preserve">ельства в сфере промышленности </w:t>
      </w:r>
      <w:r>
        <w:t>в Санкт-Петербурге</w:t>
      </w:r>
      <w:r>
        <w:rPr>
          <w:color w:themeColor="text1" w:val="000000"/>
        </w:rPr>
        <w:t xml:space="preserve"> </w:t>
      </w:r>
      <w:r>
        <w:br/>
      </w:r>
      <w:r>
        <w:t xml:space="preserve">(далее – субъекты </w:t>
      </w:r>
      <w:r>
        <w:t>МПСП</w:t>
      </w:r>
      <w:r>
        <w:t xml:space="preserve">) </w:t>
      </w:r>
      <w:r>
        <w:t xml:space="preserve">– юридические лица </w:t>
      </w:r>
      <w:r>
        <w:t>(за исключением государственных (муниципальных) учреждений)</w:t>
      </w:r>
      <w:r>
        <w:t xml:space="preserve"> и индивидуальные предприниматели, являющиеся субъектами МПСП,</w:t>
      </w:r>
      <w:r>
        <w:rPr>
          <w:color w:themeColor="text1" w:val="000000"/>
        </w:rPr>
        <w:t xml:space="preserve"> </w:t>
      </w:r>
      <w:r>
        <w:t xml:space="preserve">в отношении которых в Едином реестре субъектов малого и среднего предпринимательства имеются сведения об их принадлежности к малым предприятиям, </w:t>
      </w:r>
      <w:r>
        <w:br/>
      </w:r>
      <w:r>
        <w:t>в том числе к микропредприятиям</w:t>
      </w:r>
      <w:r>
        <w:t>,</w:t>
      </w:r>
      <w:r>
        <w:t xml:space="preserve"> </w:t>
      </w:r>
      <w:r>
        <w:t xml:space="preserve">– производители </w:t>
      </w:r>
      <w:r>
        <w:rPr>
          <w:color w:themeColor="text1" w:val="000000"/>
        </w:rPr>
        <w:t>товаров</w:t>
      </w:r>
      <w:r>
        <w:rPr>
          <w:color w:themeColor="text1" w:val="000000"/>
        </w:rPr>
        <w:t>, работ, услуг</w:t>
      </w:r>
      <w:r>
        <w:rPr>
          <w:color w:themeColor="text1" w:val="000000"/>
        </w:rPr>
        <w:t xml:space="preserve">, </w:t>
      </w:r>
      <w:r>
        <w:t xml:space="preserve">осуществляющие деятельность в сфере промышленности </w:t>
      </w:r>
      <w:r>
        <w:rPr>
          <w:color w:themeColor="text1" w:val="000000"/>
        </w:rPr>
        <w:t xml:space="preserve">в </w:t>
      </w:r>
      <w:r>
        <w:rPr>
          <w:color w:themeColor="text1" w:val="000000"/>
        </w:rPr>
        <w:t>Санкт-Петербург</w:t>
      </w:r>
      <w:r>
        <w:rPr>
          <w:color w:themeColor="text1" w:val="000000"/>
        </w:rPr>
        <w:t>е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br/>
      </w:r>
      <w:r>
        <w:rPr>
          <w:color w:themeColor="text1" w:val="000000"/>
        </w:rPr>
        <w:t xml:space="preserve">по видам экономической деятельности раздела </w:t>
      </w:r>
      <w:r>
        <w:rPr>
          <w:color w:themeColor="text1" w:val="000000"/>
        </w:rPr>
        <w:t xml:space="preserve">С </w:t>
      </w:r>
      <w:r>
        <w:rPr>
          <w:color w:themeColor="text1" w:val="000000"/>
        </w:rPr>
        <w:t>«Обрабатывающие производства»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</w:rPr>
        <w:t xml:space="preserve">бщероссийского </w:t>
      </w:r>
      <w:r>
        <w:rPr>
          <w:color w:themeColor="text1" w:val="000000"/>
        </w:rPr>
        <w:t>классификатора видов экономической деятельности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(</w:t>
      </w:r>
      <w:r>
        <w:rPr>
          <w:color w:themeColor="text1" w:val="000000"/>
        </w:rPr>
        <w:t xml:space="preserve">далее </w:t>
      </w:r>
      <w:r>
        <w:rPr>
          <w:color w:themeColor="text1" w:val="000000"/>
        </w:rPr>
        <w:t>–</w:t>
      </w:r>
      <w:r>
        <w:rPr>
          <w:color w:themeColor="text1" w:val="000000"/>
        </w:rPr>
        <w:t xml:space="preserve"> ОКВЭД</w:t>
      </w:r>
      <w:r>
        <w:rPr>
          <w:color w:themeColor="text1" w:val="000000"/>
        </w:rPr>
        <w:t>)</w:t>
      </w:r>
      <w:r>
        <w:rPr>
          <w:color w:themeColor="text1" w:val="000000"/>
        </w:rPr>
        <w:t xml:space="preserve"> ОК 029-2014 (КДЕС Ред.2</w:t>
      </w:r>
      <w:r>
        <w:rPr>
          <w:color w:themeColor="text1" w:val="000000"/>
        </w:rPr>
        <w:t xml:space="preserve">), </w:t>
      </w:r>
      <w:r>
        <w:rPr>
          <w:color w:themeColor="text1" w:val="000000"/>
        </w:rPr>
        <w:t>з</w:t>
      </w:r>
      <w:r>
        <w:rPr>
          <w:color w:themeColor="text1" w:val="000000"/>
        </w:rPr>
        <w:t>арегистрированные на территории Санкт-Петербурга</w:t>
      </w:r>
      <w:r>
        <w:rPr>
          <w:color w:themeColor="text1" w:val="000000"/>
        </w:rPr>
        <w:t>;</w:t>
      </w:r>
    </w:p>
    <w:p w14:paraId="63000000">
      <w:pPr>
        <w:widowControl w:val="1"/>
        <w:tabs>
          <w:tab w:leader="none" w:pos="851" w:val="left"/>
        </w:tabs>
        <w:ind w:firstLine="567"/>
        <w:jc w:val="both"/>
        <w:rPr>
          <w:color w:themeColor="text1" w:val="000000"/>
        </w:rPr>
      </w:pPr>
      <w:r>
        <w:t>затраты – размер платы</w:t>
      </w:r>
      <w:r>
        <w:t xml:space="preserve"> (за вычетом суммы налога на добав</w:t>
      </w:r>
      <w:r>
        <w:t>ленную стоимость), произведенной</w:t>
      </w:r>
      <w:r>
        <w:t xml:space="preserve"> субъектами МПСП в период с 01.07.2024 по 30.06.2025 (далее – период возникновения затрат) по направлениям затрат, определенным в </w:t>
      </w:r>
      <w:r>
        <w:t xml:space="preserve">пункте </w:t>
      </w:r>
      <w:r>
        <w:t>1.</w:t>
      </w:r>
      <w:r>
        <w:t>7</w:t>
      </w:r>
      <w:r>
        <w:t xml:space="preserve"> настоящего Порядка</w:t>
      </w:r>
      <w:r>
        <w:t>;</w:t>
      </w:r>
    </w:p>
    <w:p w14:paraId="64000000">
      <w:pPr>
        <w:widowControl w:val="1"/>
        <w:ind w:firstLine="567"/>
        <w:jc w:val="both"/>
        <w:rPr>
          <w:color w:themeColor="text1" w:val="000000"/>
        </w:rPr>
      </w:pPr>
      <w:r>
        <w:t>отбор –</w:t>
      </w:r>
      <w:r>
        <w:t xml:space="preserve"> </w:t>
      </w:r>
      <w:r>
        <w:rPr>
          <w:color w:themeColor="text1" w:val="000000"/>
        </w:rPr>
        <w:t xml:space="preserve">проводимые посредством </w:t>
      </w:r>
      <w:r>
        <w:rPr>
          <w:color w:themeColor="text1" w:val="000000"/>
        </w:rPr>
        <w:t xml:space="preserve">подсистемы «Площадка отбора получателей субсидий» </w:t>
      </w:r>
      <w:r>
        <w:rPr>
          <w:color w:themeColor="text1" w:val="000000"/>
        </w:rPr>
        <w:t>Автоматизированной информационной системы бюджетного процесса – электронно</w:t>
      </w:r>
      <w:r>
        <w:rPr>
          <w:color w:themeColor="text1" w:val="000000"/>
        </w:rPr>
        <w:t>го</w:t>
      </w:r>
      <w:r>
        <w:rPr>
          <w:color w:themeColor="text1" w:val="000000"/>
        </w:rPr>
        <w:t xml:space="preserve"> казначейств</w:t>
      </w:r>
      <w:r>
        <w:rPr>
          <w:color w:themeColor="text1" w:val="000000"/>
        </w:rPr>
        <w:t>а</w:t>
      </w:r>
      <w:r>
        <w:rPr>
          <w:color w:themeColor="text1" w:val="000000"/>
        </w:rPr>
        <w:t xml:space="preserve"> по адресу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https</w:t>
      </w:r>
      <w:r>
        <w:rPr>
          <w:color w:themeColor="text1" w:val="000000"/>
        </w:rPr>
        <w:t>://</w:t>
      </w:r>
      <w:r>
        <w:rPr>
          <w:color w:themeColor="text1" w:val="000000"/>
        </w:rPr>
        <w:t>edo</w:t>
      </w:r>
      <w:r>
        <w:rPr>
          <w:color w:themeColor="text1" w:val="000000"/>
        </w:rPr>
        <w:t>.</w:t>
      </w:r>
      <w:r>
        <w:rPr>
          <w:color w:themeColor="text1" w:val="000000"/>
        </w:rPr>
        <w:t>fincom</w:t>
      </w:r>
      <w:r>
        <w:rPr>
          <w:color w:themeColor="text1" w:val="000000"/>
        </w:rPr>
        <w:t>.</w:t>
      </w:r>
      <w:r>
        <w:rPr>
          <w:color w:themeColor="text1" w:val="000000"/>
        </w:rPr>
        <w:t>gov</w:t>
      </w:r>
      <w:r>
        <w:rPr>
          <w:color w:themeColor="text1" w:val="000000"/>
        </w:rPr>
        <w:t>.</w:t>
      </w:r>
      <w:r>
        <w:rPr>
          <w:color w:themeColor="text1" w:val="000000"/>
        </w:rPr>
        <w:t>spb</w:t>
      </w:r>
      <w:r>
        <w:rPr>
          <w:color w:themeColor="text1" w:val="000000"/>
        </w:rPr>
        <w:t>/</w:t>
      </w:r>
      <w:r>
        <w:rPr>
          <w:color w:themeColor="text1" w:val="000000"/>
        </w:rPr>
        <w:t>subsidy</w:t>
      </w:r>
      <w:r>
        <w:rPr>
          <w:color w:themeColor="text1" w:val="000000"/>
        </w:rPr>
        <w:t>-</w:t>
      </w:r>
      <w:r>
        <w:rPr>
          <w:color w:themeColor="text1" w:val="000000"/>
        </w:rPr>
        <w:t>lk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br/>
      </w:r>
      <w:r>
        <w:rPr>
          <w:color w:themeColor="text1" w:val="000000"/>
        </w:rPr>
        <w:t xml:space="preserve">(далее </w:t>
      </w:r>
      <w:r>
        <w:rPr>
          <w:color w:themeColor="text1" w:val="000000"/>
        </w:rPr>
        <w:t xml:space="preserve">соответственно </w:t>
      </w:r>
      <w:r>
        <w:rPr>
          <w:color w:themeColor="text1" w:val="000000"/>
        </w:rPr>
        <w:t xml:space="preserve">– </w:t>
      </w:r>
      <w:r>
        <w:rPr>
          <w:color w:themeColor="text1" w:val="000000"/>
        </w:rPr>
        <w:t xml:space="preserve">Площадка отбора, </w:t>
      </w:r>
      <w:r>
        <w:rPr>
          <w:color w:themeColor="text1" w:val="000000"/>
        </w:rPr>
        <w:t>АИС</w:t>
      </w:r>
      <w:r>
        <w:rPr>
          <w:color w:themeColor="text1" w:val="000000"/>
        </w:rPr>
        <w:t xml:space="preserve"> БП-ЭК</w:t>
      </w:r>
      <w:r>
        <w:rPr>
          <w:color w:themeColor="text1" w:val="000000"/>
        </w:rPr>
        <w:t xml:space="preserve">) в соответствии с </w:t>
      </w:r>
      <w:r>
        <w:rPr>
          <w:color w:themeColor="text1" w:val="000000"/>
        </w:rPr>
        <w:t>о</w:t>
      </w:r>
      <w:r>
        <w:rPr>
          <w:color w:themeColor="text1" w:val="000000"/>
        </w:rPr>
        <w:t xml:space="preserve">бщими требованиями к нормативным правовым актам, муниципальным правовом актам, </w:t>
      </w:r>
      <w:r>
        <w:rPr>
          <w:color w:themeColor="text1" w:val="000000"/>
        </w:rPr>
        <w:t xml:space="preserve">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</w:t>
      </w:r>
      <w:r>
        <w:rPr>
          <w:color w:themeColor="text1" w:val="000000"/>
        </w:rPr>
        <w:t>о</w:t>
      </w:r>
      <w:r>
        <w:rPr>
          <w:color w:themeColor="text1" w:val="000000"/>
        </w:rPr>
        <w:t>бщие тре</w:t>
      </w:r>
      <w:r>
        <w:rPr>
          <w:color w:themeColor="text1" w:val="000000"/>
        </w:rPr>
        <w:t>бования)</w:t>
      </w:r>
      <w:r>
        <w:rPr>
          <w:color w:themeColor="text1" w:val="000000"/>
        </w:rPr>
        <w:t xml:space="preserve">, </w:t>
      </w:r>
      <w:r>
        <w:rPr>
          <w:color w:themeColor="text1" w:val="000000"/>
        </w:rPr>
        <w:t xml:space="preserve">конкурентные процедуры, </w:t>
      </w:r>
      <w:r>
        <w:rPr>
          <w:color w:themeColor="text1" w:val="000000"/>
        </w:rPr>
        <w:t>урегулированные настоящим Порядком, по результатам которых</w:t>
      </w:r>
      <w:r>
        <w:rPr>
          <w:color w:themeColor="text1" w:val="000000"/>
        </w:rPr>
        <w:t xml:space="preserve"> из числа участников отбора</w:t>
      </w:r>
      <w:r>
        <w:rPr>
          <w:color w:themeColor="text1" w:val="000000"/>
        </w:rPr>
        <w:t xml:space="preserve"> определяются победители отбора в качестве получателей субсидий</w:t>
      </w:r>
      <w:r>
        <w:rPr>
          <w:color w:themeColor="text1" w:val="000000"/>
        </w:rPr>
        <w:t>;</w:t>
      </w:r>
    </w:p>
    <w:p w14:paraId="65000000">
      <w:pPr>
        <w:widowControl w:val="1"/>
        <w:ind w:firstLine="567"/>
        <w:jc w:val="both"/>
      </w:pPr>
      <w:r>
        <w:rPr>
          <w:color w:themeColor="text1" w:val="000000"/>
        </w:rPr>
        <w:t xml:space="preserve">участники отбора – </w:t>
      </w:r>
      <w:r>
        <w:rPr>
          <w:color w:themeColor="text1" w:val="000000"/>
        </w:rPr>
        <w:t>субъекты</w:t>
      </w:r>
      <w:r>
        <w:rPr>
          <w:color w:themeColor="text1" w:val="000000"/>
        </w:rPr>
        <w:t xml:space="preserve"> </w:t>
      </w:r>
      <w:r>
        <w:t>МПСП</w:t>
      </w:r>
      <w:r>
        <w:rPr>
          <w:color w:themeColor="text1" w:val="000000"/>
        </w:rPr>
        <w:t xml:space="preserve">, </w:t>
      </w:r>
      <w:r>
        <w:rPr>
          <w:color w:themeColor="text1" w:val="000000"/>
        </w:rPr>
        <w:t xml:space="preserve">подавшие в </w:t>
      </w:r>
      <w:r>
        <w:t xml:space="preserve">Комитет </w:t>
      </w:r>
      <w:r>
        <w:t>заявки</w:t>
      </w:r>
      <w:r>
        <w:t xml:space="preserve"> для участия </w:t>
      </w:r>
      <w:r>
        <w:br/>
      </w:r>
      <w:r>
        <w:t xml:space="preserve">в отборе (далее – </w:t>
      </w:r>
      <w:r>
        <w:t>заявки</w:t>
      </w:r>
      <w:r>
        <w:t xml:space="preserve">) </w:t>
      </w:r>
      <w:r>
        <w:t>и принявшие в нем участие в соответствии с настоящим Порядком</w:t>
      </w:r>
      <w:r>
        <w:t>;</w:t>
      </w:r>
    </w:p>
    <w:p w14:paraId="66000000">
      <w:pPr>
        <w:widowControl w:val="1"/>
        <w:ind w:firstLine="567"/>
        <w:jc w:val="both"/>
      </w:pPr>
      <w:r>
        <w:t>победители отбора – участники отбора,</w:t>
      </w:r>
      <w:r>
        <w:t xml:space="preserve"> соответствующие условиям предоставления субсидий и требованиям к участникам отбора, </w:t>
      </w:r>
      <w:r>
        <w:t>в</w:t>
      </w:r>
      <w:r>
        <w:t xml:space="preserve"> </w:t>
      </w:r>
      <w:r>
        <w:t xml:space="preserve">отношении которых по итогам отбора </w:t>
      </w:r>
      <w:r>
        <w:br/>
      </w:r>
      <w:r>
        <w:t xml:space="preserve">принято </w:t>
      </w:r>
      <w:r>
        <w:t>решение о предоставлении субсидий в соответствии с настоящим Порядком;</w:t>
      </w:r>
    </w:p>
    <w:p w14:paraId="67000000">
      <w:pPr>
        <w:widowControl w:val="1"/>
        <w:ind w:firstLine="567"/>
        <w:jc w:val="both"/>
      </w:pPr>
      <w:r>
        <w:t xml:space="preserve">получатели субсидий – победители отбора, с которыми заключены соглашения </w:t>
      </w:r>
      <w:r>
        <w:br/>
      </w:r>
      <w:r>
        <w:t>о предоставлении субсидий (далее – соглашения) в соответствии с настоящим Порядком</w:t>
      </w:r>
      <w:r>
        <w:t>;</w:t>
      </w:r>
    </w:p>
    <w:p w14:paraId="68000000">
      <w:pPr>
        <w:widowControl w:val="1"/>
        <w:ind w:firstLine="567"/>
        <w:jc w:val="both"/>
      </w:pPr>
      <w:r>
        <w:t>работники – физические лица, состоящие в трудовых отношениях с участниками отбора в соответствии с трудовым законодательском Российской Федерации;</w:t>
      </w:r>
    </w:p>
    <w:p w14:paraId="69000000">
      <w:pPr>
        <w:widowControl w:val="1"/>
        <w:ind w:firstLine="567"/>
        <w:jc w:val="both"/>
      </w:pPr>
      <w:r>
        <w:t xml:space="preserve">скан-образ </w:t>
      </w:r>
      <w:r>
        <w:t xml:space="preserve">– </w:t>
      </w:r>
      <w:r>
        <w:t>электронный образ</w:t>
      </w:r>
      <w:r>
        <w:t xml:space="preserve"> документа</w:t>
      </w:r>
      <w:r>
        <w:t xml:space="preserve">, полученный в результате цифрового копирования (сканирования) оригинального экземпляра документа с сохранением </w:t>
      </w:r>
      <w:r>
        <w:br/>
      </w:r>
      <w:r>
        <w:t>его аутентичной визуализации</w:t>
      </w:r>
      <w:r>
        <w:t>.</w:t>
      </w:r>
    </w:p>
    <w:p w14:paraId="6A000000">
      <w:pPr>
        <w:pStyle w:val="Style_4"/>
        <w:widowControl w:val="1"/>
        <w:numPr>
          <w:ilvl w:val="1"/>
          <w:numId w:val="3"/>
        </w:numPr>
        <w:tabs>
          <w:tab w:leader="none" w:pos="993" w:val="left"/>
        </w:tabs>
        <w:ind w:firstLine="567" w:left="0"/>
        <w:jc w:val="both"/>
      </w:pPr>
      <w:r>
        <w:t>Способом предоставления субсиди</w:t>
      </w:r>
      <w:r>
        <w:t>й</w:t>
      </w:r>
      <w:r>
        <w:t xml:space="preserve"> является возмещение затрат.</w:t>
      </w:r>
    </w:p>
    <w:p w14:paraId="6B000000">
      <w:pPr>
        <w:widowControl w:val="1"/>
        <w:numPr>
          <w:ilvl w:val="1"/>
          <w:numId w:val="3"/>
        </w:numPr>
        <w:tabs>
          <w:tab w:leader="none" w:pos="993" w:val="left"/>
        </w:tabs>
        <w:ind w:firstLine="567" w:left="0"/>
        <w:jc w:val="both"/>
      </w:pPr>
      <w:r>
        <w:t xml:space="preserve">Субсидии предоставляются на безвозмездной и безвозвратной основе </w:t>
      </w:r>
      <w:r>
        <w:t xml:space="preserve">субъектам </w:t>
      </w:r>
      <w:r>
        <w:t>МПС</w:t>
      </w:r>
      <w:r>
        <w:t>П</w:t>
      </w:r>
      <w:r>
        <w:t>,</w:t>
      </w:r>
      <w:r>
        <w:t xml:space="preserve"> </w:t>
      </w:r>
      <w:r>
        <w:t>осуществляющи</w:t>
      </w:r>
      <w:r>
        <w:t>м</w:t>
      </w:r>
      <w:r>
        <w:t xml:space="preserve"> виды экономической деятельности, относящиеся в со</w:t>
      </w:r>
      <w:r>
        <w:t xml:space="preserve">ответствии </w:t>
      </w:r>
      <w:r>
        <w:t xml:space="preserve">с </w:t>
      </w:r>
      <w:r>
        <w:t>ОКВЭД</w:t>
      </w:r>
      <w:r>
        <w:t xml:space="preserve"> ОК 029-2014</w:t>
      </w:r>
      <w:r>
        <w:t xml:space="preserve"> </w:t>
      </w:r>
      <w:r>
        <w:t>(КДЕС Ред. 2) к разделу C «Обрабатывающие производства»</w:t>
      </w:r>
      <w:r>
        <w:t xml:space="preserve"> </w:t>
      </w:r>
      <w:r>
        <w:br/>
      </w:r>
      <w:r>
        <w:t>(в качестве основного и(или) дополнительного видов деятельности)</w:t>
      </w:r>
      <w:r>
        <w:t>, за исключением:</w:t>
      </w:r>
    </w:p>
    <w:p w14:paraId="6C000000">
      <w:pPr>
        <w:widowControl w:val="1"/>
        <w:ind w:firstLine="567"/>
        <w:jc w:val="both"/>
      </w:pPr>
      <w:r>
        <w:t>класса 11 «Производство напитков» (кроме группы 11.07 «</w:t>
      </w:r>
      <w:r>
        <w:t>Производство безалкогольных напитков; производство упакованных питьевых вод, включая минеральные воды</w:t>
      </w:r>
      <w:r>
        <w:t>»);</w:t>
      </w:r>
    </w:p>
    <w:p w14:paraId="6D000000">
      <w:pPr>
        <w:widowControl w:val="1"/>
        <w:ind w:firstLine="567"/>
        <w:jc w:val="both"/>
      </w:pPr>
      <w:r>
        <w:t>класса 12 «Производство</w:t>
      </w:r>
      <w:r>
        <w:t xml:space="preserve"> табачных изделий»;</w:t>
      </w:r>
    </w:p>
    <w:p w14:paraId="6E000000">
      <w:pPr>
        <w:widowControl w:val="1"/>
        <w:ind w:firstLine="567"/>
        <w:jc w:val="both"/>
      </w:pPr>
      <w:r>
        <w:t>класса 18 «Деятельность полиграфическая и коп</w:t>
      </w:r>
      <w:r>
        <w:t>ирование носителей информации»;</w:t>
      </w:r>
    </w:p>
    <w:p w14:paraId="6F000000">
      <w:pPr>
        <w:widowControl w:val="1"/>
        <w:ind w:firstLine="567"/>
        <w:jc w:val="both"/>
      </w:pPr>
      <w:r>
        <w:t>класса 19 «Производство кокса и нефтепродуктов»;</w:t>
      </w:r>
    </w:p>
    <w:p w14:paraId="70000000">
      <w:pPr>
        <w:widowControl w:val="1"/>
        <w:ind w:firstLine="567"/>
        <w:jc w:val="both"/>
      </w:pPr>
      <w: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14:paraId="71000000">
      <w:pPr>
        <w:pStyle w:val="Style_7"/>
        <w:widowControl w:val="1"/>
        <w:tabs>
          <w:tab w:leader="none" w:pos="851" w:val="left"/>
          <w:tab w:leader="none" w:pos="993" w:val="left"/>
        </w:tabs>
        <w:ind w:firstLine="567"/>
        <w:jc w:val="both"/>
      </w:pPr>
      <w:r>
        <w:fldChar w:fldCharType="begin"/>
      </w:r>
      <w:r>
        <w:instrText>HYPERLINK "consultantplus://offline/ref=98845E954BA1C3935287424F768344A183913E54D0594BC52BF03C27F48AC8361FD389BCD9B5705CE1ED62B58C9365512B367C8452E9081EsFzEI"</w:instrText>
      </w:r>
      <w:r>
        <w:fldChar w:fldCharType="separate"/>
      </w:r>
      <w:r>
        <w:t>класса 33</w:t>
      </w:r>
      <w:r>
        <w:fldChar w:fldCharType="end"/>
      </w:r>
      <w:r>
        <w:t xml:space="preserve"> «Ремонт </w:t>
      </w:r>
      <w:r>
        <w:t>и монтаж машин и оборудования»</w:t>
      </w:r>
      <w:r>
        <w:t xml:space="preserve"> </w:t>
      </w:r>
      <w:r>
        <w:t xml:space="preserve">(далее – организации) </w:t>
      </w:r>
      <w:r>
        <w:t xml:space="preserve">в целях возмещения </w:t>
      </w:r>
      <w:r>
        <w:t xml:space="preserve">им части </w:t>
      </w:r>
      <w:r>
        <w:t>затрат</w:t>
      </w:r>
      <w:r>
        <w:t xml:space="preserve"> </w:t>
      </w:r>
      <w:r>
        <w:t>в размере</w:t>
      </w:r>
      <w:r>
        <w:rPr>
          <w:color w:themeColor="text1" w:val="000000"/>
        </w:rPr>
        <w:t>, не превышающем</w:t>
      </w:r>
      <w:r>
        <w:rPr>
          <w:color w:themeColor="text1" w:val="000000"/>
        </w:rPr>
        <w:t xml:space="preserve"> </w:t>
      </w:r>
      <w:r>
        <w:t>80</w:t>
      </w:r>
      <w:r>
        <w:t xml:space="preserve"> процентов от общей суммы произведенных затрат </w:t>
      </w:r>
      <w:r>
        <w:t>(далее</w:t>
      </w:r>
      <w:r>
        <w:t xml:space="preserve"> также</w:t>
      </w:r>
      <w:r>
        <w:t xml:space="preserve"> </w:t>
      </w:r>
      <w:r>
        <w:t>– часть затрат)</w:t>
      </w:r>
      <w:r>
        <w:t>,</w:t>
      </w:r>
      <w:r>
        <w:t xml:space="preserve"> в рамках </w:t>
      </w:r>
      <w:r>
        <w:t>достижения целевых показателей Государственной программы при реализации меропр</w:t>
      </w:r>
      <w:r>
        <w:t xml:space="preserve">иятия, предусмотренного </w:t>
      </w:r>
      <w:r>
        <w:t xml:space="preserve">в пункте 3.10 </w:t>
      </w:r>
      <w:r>
        <w:rPr>
          <w:color w:themeColor="text1" w:val="000000"/>
        </w:rPr>
        <w:t xml:space="preserve">процессной </w:t>
      </w:r>
      <w:r>
        <w:t xml:space="preserve">части подраздела </w:t>
      </w:r>
      <w:r>
        <w:t>9</w:t>
      </w:r>
      <w:r>
        <w:t>.</w:t>
      </w:r>
      <w:r>
        <w:t>3</w:t>
      </w:r>
      <w:r>
        <w:t xml:space="preserve"> Государственной программы</w:t>
      </w:r>
      <w:r>
        <w:t>.</w:t>
      </w:r>
    </w:p>
    <w:p w14:paraId="72000000">
      <w:pPr>
        <w:widowControl w:val="1"/>
        <w:numPr>
          <w:ilvl w:val="1"/>
          <w:numId w:val="3"/>
        </w:numPr>
        <w:tabs>
          <w:tab w:leader="none" w:pos="993" w:val="left"/>
        </w:tabs>
        <w:ind w:firstLine="567" w:left="0"/>
        <w:jc w:val="both"/>
      </w:pPr>
      <w:r>
        <w:t xml:space="preserve">Субсидии не предоставляются субъектам хозяйственной деятельности, указанным в </w:t>
      </w:r>
      <w:r>
        <w:t>пункте 1.4</w:t>
      </w:r>
      <w:r>
        <w:t xml:space="preserve"> настоящего Порядка</w:t>
      </w:r>
      <w:r>
        <w:t xml:space="preserve">, осуществляющим производство </w:t>
      </w:r>
      <w:r>
        <w:br/>
      </w:r>
      <w:r>
        <w:t xml:space="preserve">и(или) реализацию подакцизных товаров, а также добычу и(или) реализацию </w:t>
      </w:r>
      <w:r>
        <w:br/>
      </w:r>
      <w:r>
        <w:t xml:space="preserve">полезных ископаемых, за исключением общераспространенных полезных ископаемых </w:t>
      </w:r>
      <w:r>
        <w:br/>
      </w:r>
      <w:r>
        <w:t>и минер</w:t>
      </w:r>
      <w:r>
        <w:t xml:space="preserve">альных питьевых вод, если иное </w:t>
      </w:r>
      <w:r>
        <w:t xml:space="preserve">не предусмотрено Правительством </w:t>
      </w:r>
      <w:r>
        <w:br/>
      </w:r>
      <w:r>
        <w:t xml:space="preserve">Российской Федерации. </w:t>
      </w:r>
    </w:p>
    <w:p w14:paraId="73000000">
      <w:pPr>
        <w:widowControl w:val="1"/>
        <w:numPr>
          <w:ilvl w:val="1"/>
          <w:numId w:val="3"/>
        </w:numPr>
        <w:tabs>
          <w:tab w:leader="none" w:pos="993" w:val="left"/>
        </w:tabs>
        <w:ind w:firstLine="567" w:left="0"/>
        <w:jc w:val="both"/>
      </w:pPr>
      <w:r>
        <w:t xml:space="preserve">Максимальный размер субсидии, предоставляемой одной организации, </w:t>
      </w:r>
      <w:r>
        <w:t>составляет 1 млн</w:t>
      </w:r>
      <w:r>
        <w:t xml:space="preserve"> </w:t>
      </w:r>
      <w:r>
        <w:t>руб., при этом максимальная стоимость обучения по договору на одного работника организации, за обучение которого возмещаются затрат</w:t>
      </w:r>
      <w:r>
        <w:t>ы, не должна превышать 200 тыс.</w:t>
      </w:r>
      <w:r>
        <w:t>руб.</w:t>
      </w:r>
    </w:p>
    <w:p w14:paraId="74000000">
      <w:pPr>
        <w:widowControl w:val="1"/>
        <w:tabs>
          <w:tab w:leader="none" w:pos="993" w:val="left"/>
        </w:tabs>
        <w:ind w:firstLine="567"/>
        <w:jc w:val="both"/>
      </w:pPr>
      <w:r>
        <w:t>В случае возмещения части затрат организаций на обучение работников по договорам подготовки кадров по программам среднего профессионального образования, высшего образования</w:t>
      </w:r>
      <w:r>
        <w:t>,</w:t>
      </w:r>
      <w:r>
        <w:t xml:space="preserve"> специалитета, бакалавриата и магистратуры, а также по договорам подготовки по программам высшего образования</w:t>
      </w:r>
      <w:r>
        <w:t>,</w:t>
      </w:r>
      <w:r>
        <w:t xml:space="preserve"> подготовки кадров высшей квалификации </w:t>
      </w:r>
      <w:r>
        <w:t>обязательным требованием получения субсидии является наличие договора (соглашения) между организацией и обучающимся работником, закрепляющего обязанность работника отработать в организации не менее одного года с даты оконч</w:t>
      </w:r>
      <w:r>
        <w:t xml:space="preserve">ания обучения. Если дата выдачи </w:t>
      </w:r>
      <w:r>
        <w:t xml:space="preserve">образовательной организацией </w:t>
      </w:r>
      <w:r>
        <w:t xml:space="preserve">документа по результатам обучения </w:t>
      </w:r>
      <w:r>
        <w:t>работнику организации</w:t>
      </w:r>
      <w:r>
        <w:t xml:space="preserve"> соответствует установленному периоду возмещения части затрат, связанных </w:t>
      </w:r>
      <w:r>
        <w:br/>
      </w:r>
      <w:r>
        <w:t xml:space="preserve">с подготовкой, переподготовкой и повышением квалификации кадров в текущем календарном году, то ему возмещается часть документально подтвержденных затрат, понесенных за весь период обучения этого работника в образовательной организации, </w:t>
      </w:r>
      <w:r>
        <w:br/>
      </w:r>
      <w:r>
        <w:t>но не более 400 тыс.</w:t>
      </w:r>
      <w:r>
        <w:t>руб.</w:t>
      </w:r>
    </w:p>
    <w:p w14:paraId="75000000">
      <w:pPr>
        <w:widowControl w:val="1"/>
        <w:numPr>
          <w:ilvl w:val="1"/>
          <w:numId w:val="3"/>
        </w:numPr>
        <w:tabs>
          <w:tab w:leader="none" w:pos="993" w:val="left"/>
        </w:tabs>
        <w:ind w:firstLine="567" w:left="0"/>
        <w:jc w:val="both"/>
        <w:rPr>
          <w:i w:val="1"/>
          <w:color w:val="0070C0"/>
        </w:rPr>
      </w:pPr>
      <w:r>
        <w:rPr>
          <w:color w:themeColor="text1" w:val="000000"/>
        </w:rPr>
        <w:t>Возмещению за счет средств субсидий подлеж</w:t>
      </w:r>
      <w:r>
        <w:rPr>
          <w:color w:themeColor="text1" w:val="000000"/>
        </w:rPr>
        <w:t>и</w:t>
      </w:r>
      <w:r>
        <w:rPr>
          <w:color w:themeColor="text1" w:val="000000"/>
        </w:rPr>
        <w:t xml:space="preserve">т </w:t>
      </w:r>
      <w:r>
        <w:rPr>
          <w:color w:themeColor="text1" w:val="000000"/>
        </w:rPr>
        <w:t xml:space="preserve">часть </w:t>
      </w:r>
      <w:r>
        <w:rPr>
          <w:color w:themeColor="text1" w:val="000000"/>
        </w:rPr>
        <w:t>затрат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по следующим направлениям:</w:t>
      </w:r>
    </w:p>
    <w:p w14:paraId="76000000">
      <w:pPr>
        <w:widowControl w:val="1"/>
        <w:tabs>
          <w:tab w:leader="none" w:pos="993" w:val="left"/>
        </w:tabs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 xml:space="preserve">оказание </w:t>
      </w:r>
      <w:r>
        <w:rPr>
          <w:color w:themeColor="text1" w:val="000000"/>
        </w:rPr>
        <w:t xml:space="preserve">образовательных </w:t>
      </w:r>
      <w:r>
        <w:rPr>
          <w:color w:themeColor="text1" w:val="000000"/>
        </w:rPr>
        <w:t>услуг по договорам подготовки кадров по программам среднего профессионального образования;</w:t>
      </w:r>
    </w:p>
    <w:p w14:paraId="77000000">
      <w:pPr>
        <w:widowControl w:val="1"/>
        <w:tabs>
          <w:tab w:leader="none" w:pos="993" w:val="left"/>
        </w:tabs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 xml:space="preserve">оказание </w:t>
      </w:r>
      <w:r>
        <w:rPr>
          <w:color w:themeColor="text1" w:val="000000"/>
        </w:rPr>
        <w:t xml:space="preserve">образовательных </w:t>
      </w:r>
      <w:r>
        <w:rPr>
          <w:color w:themeColor="text1" w:val="000000"/>
        </w:rPr>
        <w:t>услуг по договорам подготовки кадров по программам высшего образования специалитета, бакалавриата и магистратуры;</w:t>
      </w:r>
    </w:p>
    <w:p w14:paraId="78000000">
      <w:pPr>
        <w:widowControl w:val="1"/>
        <w:tabs>
          <w:tab w:leader="none" w:pos="993" w:val="left"/>
        </w:tabs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 xml:space="preserve">оказание </w:t>
      </w:r>
      <w:r>
        <w:rPr>
          <w:color w:themeColor="text1" w:val="000000"/>
        </w:rPr>
        <w:t xml:space="preserve">образовательных </w:t>
      </w:r>
      <w:r>
        <w:rPr>
          <w:color w:themeColor="text1" w:val="000000"/>
        </w:rPr>
        <w:t>услуг по договорам подготовки кадров по программам высшего образования подготовки кадров высшей квалификации;</w:t>
      </w:r>
    </w:p>
    <w:p w14:paraId="79000000">
      <w:pPr>
        <w:widowControl w:val="1"/>
        <w:tabs>
          <w:tab w:leader="none" w:pos="993" w:val="left"/>
        </w:tabs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>оказание услуг по договорам переподготовки кадров (</w:t>
      </w:r>
      <w:r>
        <w:rPr>
          <w:color w:themeColor="text1" w:val="000000"/>
        </w:rPr>
        <w:t xml:space="preserve">в объеме не менее 250 часов) </w:t>
      </w:r>
      <w:r>
        <w:rPr>
          <w:color w:themeColor="text1" w:val="000000"/>
        </w:rPr>
        <w:br/>
      </w:r>
      <w:r>
        <w:rPr>
          <w:color w:themeColor="text1" w:val="000000"/>
        </w:rPr>
        <w:t>и повышения квалификации кадров (в объеме не менее 16 часов</w:t>
      </w:r>
      <w:r>
        <w:rPr>
          <w:color w:themeColor="text1" w:val="000000"/>
        </w:rPr>
        <w:t xml:space="preserve">) в соответствии </w:t>
      </w:r>
      <w:r>
        <w:rPr>
          <w:color w:themeColor="text1" w:val="000000"/>
        </w:rPr>
        <w:t>с Порядком</w:t>
      </w:r>
      <w:r>
        <w:rPr>
          <w:color w:themeColor="text1" w:val="000000"/>
        </w:rPr>
        <w:t xml:space="preserve"> организации и осуществления образовательной деятельности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по дополнительным профессион</w:t>
      </w:r>
      <w:r>
        <w:rPr>
          <w:color w:themeColor="text1" w:val="000000"/>
        </w:rPr>
        <w:t>альным программам, утвержденным</w:t>
      </w:r>
      <w:r>
        <w:rPr>
          <w:color w:themeColor="text1" w:val="000000"/>
        </w:rPr>
        <w:t xml:space="preserve"> Министерств</w:t>
      </w:r>
      <w:r>
        <w:rPr>
          <w:color w:themeColor="text1" w:val="000000"/>
        </w:rPr>
        <w:t>ом</w:t>
      </w:r>
      <w:r>
        <w:rPr>
          <w:color w:themeColor="text1" w:val="000000"/>
        </w:rPr>
        <w:t xml:space="preserve"> образования и науки Российской Федерации.</w:t>
      </w:r>
    </w:p>
    <w:p w14:paraId="7A000000">
      <w:pPr>
        <w:widowControl w:val="1"/>
        <w:numPr>
          <w:ilvl w:val="1"/>
          <w:numId w:val="3"/>
        </w:numPr>
        <w:tabs>
          <w:tab w:leader="none" w:pos="993" w:val="left"/>
        </w:tabs>
        <w:ind w:firstLine="567" w:left="0"/>
        <w:jc w:val="both"/>
      </w:pPr>
      <w:r>
        <w:t>Датой возникновения затрат является дата подписания организацией документа, подтверждающего факт оказания услуг по договорам, указанным в пункте 1.</w:t>
      </w:r>
      <w:r>
        <w:t>7</w:t>
      </w:r>
      <w:r>
        <w:t xml:space="preserve"> настоящего Порядка (акта об оказании услуг). </w:t>
      </w:r>
    </w:p>
    <w:p w14:paraId="7B000000">
      <w:pPr>
        <w:pStyle w:val="Style_7"/>
        <w:widowControl w:val="1"/>
        <w:tabs>
          <w:tab w:leader="none" w:pos="851" w:val="left"/>
          <w:tab w:leader="none" w:pos="993" w:val="left"/>
        </w:tabs>
        <w:ind w:firstLine="567"/>
        <w:jc w:val="both"/>
      </w:pPr>
      <w:r>
        <w:t>Если дата выдачи образовательной организацией документа по результатам обучени</w:t>
      </w:r>
      <w:r>
        <w:t xml:space="preserve">я работника </w:t>
      </w:r>
      <w:r>
        <w:t>соответствует установленному</w:t>
      </w:r>
      <w:r>
        <w:t xml:space="preserve"> периоду возмещения части затрат </w:t>
      </w:r>
      <w:r>
        <w:t xml:space="preserve">в текущем календарном году, возмещается часть документально подтвержденных затрат, понесенных </w:t>
      </w:r>
      <w:r>
        <w:t xml:space="preserve">организацией </w:t>
      </w:r>
      <w:r>
        <w:t xml:space="preserve">за весь </w:t>
      </w:r>
      <w:r>
        <w:t>период обучения этого работника</w:t>
      </w:r>
      <w:r>
        <w:t xml:space="preserve">, </w:t>
      </w:r>
      <w:r>
        <w:t>но не более 400 тыс.</w:t>
      </w:r>
      <w:r>
        <w:t>руб.</w:t>
      </w:r>
    </w:p>
    <w:p w14:paraId="7C000000">
      <w:pPr>
        <w:widowControl w:val="1"/>
        <w:numPr>
          <w:ilvl w:val="1"/>
          <w:numId w:val="3"/>
        </w:numPr>
        <w:tabs>
          <w:tab w:leader="none" w:pos="993" w:val="left"/>
        </w:tabs>
        <w:ind w:firstLine="567" w:left="0"/>
        <w:jc w:val="both"/>
      </w:pPr>
      <w:r>
        <w:t>Субсидии предос</w:t>
      </w:r>
      <w:r>
        <w:t>тавляются по результатам отбора</w:t>
      </w:r>
      <w:r>
        <w:t>, с</w:t>
      </w:r>
      <w:r>
        <w:t xml:space="preserve">пособом проведения </w:t>
      </w:r>
      <w:r>
        <w:br/>
      </w:r>
      <w:r>
        <w:t xml:space="preserve">которого </w:t>
      </w:r>
      <w:r>
        <w:t xml:space="preserve">является запрос предложений, направленных </w:t>
      </w:r>
      <w:r>
        <w:t>участниками отбора</w:t>
      </w:r>
      <w:r>
        <w:t xml:space="preserve"> </w:t>
      </w:r>
      <w:r>
        <w:t xml:space="preserve">в соответствии </w:t>
      </w:r>
      <w:r>
        <w:br/>
      </w:r>
      <w:r>
        <w:t>с настоящим Порядком.</w:t>
      </w:r>
    </w:p>
    <w:p w14:paraId="7D000000">
      <w:pPr>
        <w:pStyle w:val="Style_7"/>
        <w:widowControl w:val="1"/>
        <w:numPr>
          <w:ilvl w:val="1"/>
          <w:numId w:val="3"/>
        </w:numPr>
        <w:tabs>
          <w:tab w:leader="none" w:pos="709" w:val="left"/>
          <w:tab w:leader="none" w:pos="851" w:val="left"/>
          <w:tab w:leader="none" w:pos="1134" w:val="left"/>
        </w:tabs>
        <w:ind w:firstLine="567" w:left="0"/>
        <w:jc w:val="both"/>
      </w:pPr>
      <w:r>
        <w:t>Победители отбора определяются</w:t>
      </w:r>
      <w:r>
        <w:t xml:space="preserve"> </w:t>
      </w:r>
      <w:r>
        <w:t xml:space="preserve">исходя из соответствия </w:t>
      </w:r>
      <w:r>
        <w:t>участников отбора</w:t>
      </w:r>
      <w:r>
        <w:t xml:space="preserve"> условиям предоставления субсидий и требованиям к участникам отбора, установленным </w:t>
      </w:r>
      <w:r>
        <w:br/>
      </w:r>
      <w:r>
        <w:t>в разделе 3 настоящего П</w:t>
      </w:r>
      <w:r>
        <w:t>орядка</w:t>
      </w:r>
      <w:r>
        <w:t xml:space="preserve">, согласно очередности поступления от </w:t>
      </w:r>
      <w:r>
        <w:t xml:space="preserve">них </w:t>
      </w:r>
      <w:r>
        <w:t xml:space="preserve">заявок </w:t>
      </w:r>
      <w:r>
        <w:br/>
      </w:r>
      <w:r>
        <w:t>и документов</w:t>
      </w:r>
      <w:r>
        <w:t xml:space="preserve"> </w:t>
      </w:r>
      <w:r>
        <w:t xml:space="preserve">в соответствии со сроком, установленным в объявлении о проведении отбора (далее – объявление) </w:t>
      </w:r>
      <w:r>
        <w:t xml:space="preserve">согласно пункту </w:t>
      </w:r>
      <w:r>
        <w:t>2.2 настоящего Порядка</w:t>
      </w:r>
      <w:r>
        <w:t xml:space="preserve">, </w:t>
      </w:r>
      <w:r>
        <w:t>до исчерпания бюджетных ассигнований на предоставление субсидий</w:t>
      </w:r>
      <w:r>
        <w:t>.</w:t>
      </w:r>
    </w:p>
    <w:p w14:paraId="7E000000">
      <w:pPr>
        <w:pStyle w:val="Style_7"/>
        <w:widowControl w:val="1"/>
        <w:numPr>
          <w:ilvl w:val="1"/>
          <w:numId w:val="3"/>
        </w:numPr>
        <w:tabs>
          <w:tab w:leader="none" w:pos="709" w:val="left"/>
          <w:tab w:leader="none" w:pos="851" w:val="left"/>
          <w:tab w:leader="none" w:pos="1134" w:val="left"/>
        </w:tabs>
        <w:ind w:firstLine="567" w:left="0"/>
        <w:jc w:val="both"/>
      </w:pPr>
      <w:r>
        <w:t xml:space="preserve">Субсидии предоставляются в пределах средств, предусмотренных </w:t>
      </w:r>
      <w:r>
        <w:br/>
      </w:r>
      <w:r>
        <w:t xml:space="preserve">на их предоставление Комитету Законом о бюджете по статье расходов, указанной </w:t>
      </w:r>
      <w:r>
        <w:br/>
      </w:r>
      <w:r>
        <w:t>в пункте 1.1 настоящего Порядка.</w:t>
      </w:r>
    </w:p>
    <w:p w14:paraId="7F000000">
      <w:pPr>
        <w:pStyle w:val="Style_7"/>
        <w:widowControl w:val="1"/>
        <w:tabs>
          <w:tab w:leader="none" w:pos="709" w:val="left"/>
          <w:tab w:leader="none" w:pos="851" w:val="left"/>
          <w:tab w:leader="none" w:pos="1134" w:val="left"/>
        </w:tabs>
        <w:ind w:left="567"/>
        <w:jc w:val="both"/>
      </w:pPr>
    </w:p>
    <w:p w14:paraId="80000000">
      <w:pPr>
        <w:widowControl w:val="1"/>
        <w:numPr>
          <w:ilvl w:val="0"/>
          <w:numId w:val="2"/>
        </w:numPr>
        <w:ind/>
        <w:jc w:val="center"/>
        <w:rPr>
          <w:b w:val="1"/>
        </w:rPr>
      </w:pPr>
      <w:r>
        <w:rPr>
          <w:b w:val="1"/>
        </w:rPr>
        <w:t xml:space="preserve">Порядок проведения отбора </w:t>
      </w:r>
    </w:p>
    <w:p w14:paraId="81000000">
      <w:pPr>
        <w:widowControl w:val="1"/>
        <w:ind w:left="720"/>
        <w:rPr>
          <w:b w:val="1"/>
        </w:rPr>
      </w:pPr>
    </w:p>
    <w:p w14:paraId="82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</w:pPr>
      <w:r>
        <w:t xml:space="preserve">Отбор проводится на основании </w:t>
      </w:r>
      <w:r>
        <w:t>рассмотрения</w:t>
      </w:r>
      <w:r>
        <w:t xml:space="preserve"> </w:t>
      </w:r>
      <w:r>
        <w:t xml:space="preserve">поданных </w:t>
      </w:r>
      <w:r>
        <w:t>организациями</w:t>
      </w:r>
      <w:r>
        <w:t xml:space="preserve"> </w:t>
      </w:r>
      <w:r>
        <w:t>заявок</w:t>
      </w:r>
      <w:r>
        <w:t xml:space="preserve"> </w:t>
      </w:r>
      <w:r>
        <w:t>по форме согласно приложению № 1</w:t>
      </w:r>
      <w:r>
        <w:t xml:space="preserve"> к настоящему Порядку и прилагаемых </w:t>
      </w:r>
      <w:r>
        <w:br/>
      </w:r>
      <w:r>
        <w:t>к н</w:t>
      </w:r>
      <w:r>
        <w:t>им</w:t>
      </w:r>
      <w:r>
        <w:t xml:space="preserve"> документов, подтверждающих соответствие </w:t>
      </w:r>
      <w:r>
        <w:t xml:space="preserve">участников отбора </w:t>
      </w:r>
      <w:r>
        <w:rPr>
          <w:color w:themeColor="text1" w:val="000000"/>
        </w:rPr>
        <w:t>критериям отбор</w:t>
      </w:r>
      <w:r>
        <w:rPr>
          <w:color w:themeColor="text1" w:val="000000"/>
        </w:rPr>
        <w:t>а</w:t>
      </w:r>
      <w:r>
        <w:rPr>
          <w:color w:themeColor="text1" w:val="000000"/>
        </w:rPr>
        <w:t xml:space="preserve"> </w:t>
      </w:r>
      <w:r>
        <w:t>(далее – документы)</w:t>
      </w:r>
      <w:r>
        <w:t>,</w:t>
      </w:r>
      <w:r>
        <w:t xml:space="preserve"> в соответствии с </w:t>
      </w:r>
      <w:r>
        <w:t>п</w:t>
      </w:r>
      <w:r>
        <w:t>еречнем</w:t>
      </w:r>
      <w:r>
        <w:t xml:space="preserve"> документов и требований к ним</w:t>
      </w:r>
      <w:r>
        <w:t xml:space="preserve">, </w:t>
      </w:r>
      <w:r>
        <w:t>установленны</w:t>
      </w:r>
      <w:r>
        <w:t>м</w:t>
      </w:r>
      <w:r>
        <w:t xml:space="preserve"> </w:t>
      </w:r>
      <w:r>
        <w:t>в приложении</w:t>
      </w:r>
      <w:r>
        <w:t xml:space="preserve"> № 2</w:t>
      </w:r>
      <w:r>
        <w:t xml:space="preserve"> к настоящему Порядку (</w:t>
      </w:r>
      <w:r>
        <w:t>далее –</w:t>
      </w:r>
      <w:r>
        <w:t xml:space="preserve"> Перечень документов).</w:t>
      </w:r>
    </w:p>
    <w:p w14:paraId="83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</w:pPr>
      <w:r>
        <w:t xml:space="preserve">Объявление размещается </w:t>
      </w:r>
      <w:r>
        <w:t xml:space="preserve">на веб-странице Комитета </w:t>
      </w:r>
      <w:r>
        <w:t xml:space="preserve">на </w:t>
      </w:r>
      <w:r>
        <w:t xml:space="preserve">официальном </w:t>
      </w:r>
      <w:r>
        <w:br/>
      </w:r>
      <w:r>
        <w:t>сайте Администрации Сан</w:t>
      </w:r>
      <w:r>
        <w:t xml:space="preserve">кт-Петербурга в сети «Интернет» </w:t>
      </w:r>
      <w:r>
        <w:t xml:space="preserve">по адресу </w:t>
      </w:r>
      <w:r>
        <w:rPr>
          <w:rStyle w:val="Style_8_ch"/>
          <w:color w:val="000000"/>
          <w:u w:val="none"/>
        </w:rPr>
        <w:fldChar w:fldCharType="begin"/>
      </w:r>
      <w:r>
        <w:rPr>
          <w:rStyle w:val="Style_8_ch"/>
          <w:color w:val="000000"/>
          <w:u w:val="none"/>
        </w:rPr>
        <w:instrText>HYPERLINK "https://www.gov.spb.ru/gov/otrasl/c_industrial_and_trade/"</w:instrText>
      </w:r>
      <w:r>
        <w:rPr>
          <w:rStyle w:val="Style_8_ch"/>
          <w:color w:val="000000"/>
          <w:u w:val="none"/>
        </w:rPr>
        <w:fldChar w:fldCharType="separate"/>
      </w:r>
      <w:r>
        <w:rPr>
          <w:rStyle w:val="Style_8_ch"/>
          <w:color w:val="000000"/>
          <w:u w:val="none"/>
        </w:rPr>
        <w:t>https://www.gov.spb.ru/gov/otrasl/c_industrial_and_trade/</w:t>
      </w:r>
      <w:r>
        <w:rPr>
          <w:rStyle w:val="Style_8_ch"/>
          <w:color w:val="000000"/>
          <w:u w:val="none"/>
        </w:rPr>
        <w:fldChar w:fldCharType="end"/>
      </w:r>
      <w:r>
        <w:t>,</w:t>
      </w:r>
      <w:r>
        <w:t xml:space="preserve"> </w:t>
      </w:r>
      <w:r>
        <w:t xml:space="preserve">на официальном сайте Комитета </w:t>
      </w:r>
      <w:r>
        <w:br/>
      </w:r>
      <w:r>
        <w:t xml:space="preserve">в сети «Интернет» по адресу www.cipit.gov.spb.ru (далее совместно </w:t>
      </w:r>
      <w:r>
        <w:t xml:space="preserve">– </w:t>
      </w:r>
      <w:r>
        <w:t>сайт Комитета)</w:t>
      </w:r>
      <w:r>
        <w:t xml:space="preserve"> </w:t>
      </w:r>
      <w:r>
        <w:br/>
      </w:r>
      <w:r>
        <w:t xml:space="preserve">и на Площадке отбора </w:t>
      </w:r>
      <w:r>
        <w:t>в срок, установленный</w:t>
      </w:r>
      <w:r>
        <w:t xml:space="preserve"> </w:t>
      </w:r>
      <w:r>
        <w:t>Комитетом</w:t>
      </w:r>
      <w:r>
        <w:t>.</w:t>
      </w:r>
    </w:p>
    <w:p w14:paraId="84000000">
      <w:pPr>
        <w:widowControl w:val="0"/>
        <w:tabs>
          <w:tab w:leader="none" w:pos="1276" w:val="left"/>
        </w:tabs>
        <w:ind w:firstLine="709"/>
        <w:contextualSpacing w:val="1"/>
        <w:jc w:val="both"/>
      </w:pPr>
      <w:r>
        <w:t xml:space="preserve">Объявление должно содержать сведения, перечисленные в пункте 21 общих требований, определенные в соответствии с положениями настоящего Порядка </w:t>
      </w:r>
      <w:r>
        <w:br/>
      </w:r>
      <w:r>
        <w:t>и нормативного правового акта</w:t>
      </w:r>
      <w:r>
        <w:t xml:space="preserve"> Комитета</w:t>
      </w:r>
      <w:r>
        <w:t xml:space="preserve">, регулирующего отдельные вопросы предоставления субсидий. </w:t>
      </w:r>
    </w:p>
    <w:p w14:paraId="85000000">
      <w:pPr>
        <w:widowControl w:val="0"/>
        <w:tabs>
          <w:tab w:leader="none" w:pos="1276" w:val="left"/>
        </w:tabs>
        <w:ind w:firstLine="567"/>
        <w:contextualSpacing w:val="1"/>
        <w:jc w:val="both"/>
      </w:pPr>
      <w:r>
        <w:t xml:space="preserve">Размещение объявления на сайте Комитета и на Площадке отбора осуществляется </w:t>
      </w:r>
      <w:r>
        <w:br/>
      </w:r>
      <w:r>
        <w:t xml:space="preserve">не ранее размещения сведений о субсидии на </w:t>
      </w:r>
      <w:r>
        <w:t>едином по</w:t>
      </w:r>
      <w:r>
        <w:t>ртале в соответствии с пунктом 1.1 настоящего Порядка.</w:t>
      </w:r>
    </w:p>
    <w:p w14:paraId="86000000">
      <w:pPr>
        <w:widowControl w:val="0"/>
        <w:tabs>
          <w:tab w:leader="none" w:pos="1276" w:val="left"/>
        </w:tabs>
        <w:ind w:firstLine="567"/>
        <w:contextualSpacing w:val="1"/>
        <w:jc w:val="both"/>
      </w:pPr>
      <w:r>
        <w:t xml:space="preserve"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</w:t>
      </w:r>
      <w:r>
        <w:t>Комитетом</w:t>
      </w:r>
      <w:r>
        <w:t>.</w:t>
      </w:r>
    </w:p>
    <w:p w14:paraId="87000000">
      <w:pPr>
        <w:widowControl w:val="0"/>
        <w:tabs>
          <w:tab w:leader="none" w:pos="1276" w:val="left"/>
        </w:tabs>
        <w:ind w:firstLine="567"/>
        <w:contextualSpacing w:val="1"/>
        <w:jc w:val="both"/>
      </w:pPr>
      <w:r>
        <w:t xml:space="preserve">Информация о странице сайта Комитета, на которой размещается объявление, объявление об отмене отбора, </w:t>
      </w:r>
      <w:r>
        <w:t>продлении срока проведения отбора или проведении нового отбора</w:t>
      </w:r>
      <w:r>
        <w:t>,</w:t>
      </w:r>
      <w:r>
        <w:t xml:space="preserve"> </w:t>
      </w:r>
      <w:r>
        <w:t>информация о ходе и р</w:t>
      </w:r>
      <w:r>
        <w:t xml:space="preserve">езультатах отбора, публикуется </w:t>
      </w:r>
      <w:r>
        <w:t>на е</w:t>
      </w:r>
      <w:r>
        <w:t>дином портале.</w:t>
      </w:r>
    </w:p>
    <w:p w14:paraId="88000000">
      <w:pPr>
        <w:pStyle w:val="Style_9"/>
        <w:widowControl w:val="1"/>
        <w:numPr>
          <w:ilvl w:val="1"/>
          <w:numId w:val="4"/>
        </w:numPr>
        <w:tabs>
          <w:tab w:leader="none" w:pos="1042" w:val="left"/>
        </w:tabs>
        <w:spacing w:after="0" w:before="0" w:line="240" w:lineRule="auto"/>
        <w:ind w:firstLine="567" w:left="0"/>
        <w:rPr>
          <w:sz w:val="24"/>
        </w:rPr>
      </w:pPr>
      <w:r>
        <w:rPr>
          <w:sz w:val="24"/>
        </w:rPr>
        <w:t xml:space="preserve">Датой начала приема заявок является </w:t>
      </w:r>
      <w:r>
        <w:rPr>
          <w:sz w:val="24"/>
        </w:rPr>
        <w:t xml:space="preserve">первый рабочий день, следующий </w:t>
      </w:r>
      <w:r>
        <w:rPr>
          <w:sz w:val="24"/>
        </w:rPr>
        <w:br/>
      </w:r>
      <w:r>
        <w:rPr>
          <w:sz w:val="24"/>
        </w:rPr>
        <w:t xml:space="preserve">за днем размещения объявления на сайте Комитета и </w:t>
      </w:r>
      <w:r>
        <w:rPr>
          <w:sz w:val="24"/>
        </w:rPr>
        <w:t xml:space="preserve">на </w:t>
      </w:r>
      <w:r>
        <w:rPr>
          <w:sz w:val="24"/>
        </w:rPr>
        <w:t>Площадке отбора.</w:t>
      </w:r>
    </w:p>
    <w:p w14:paraId="89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>Дата окончания приема заявок</w:t>
      </w:r>
      <w:r>
        <w:rPr>
          <w:sz w:val="24"/>
        </w:rPr>
        <w:t xml:space="preserve"> не может быть ранее </w:t>
      </w:r>
      <w:r>
        <w:rPr>
          <w:sz w:val="24"/>
        </w:rPr>
        <w:t>десятого календарного дня</w:t>
      </w:r>
      <w:r>
        <w:rPr>
          <w:sz w:val="24"/>
        </w:rPr>
        <w:t>, следующ</w:t>
      </w:r>
      <w:r>
        <w:rPr>
          <w:sz w:val="24"/>
        </w:rPr>
        <w:t xml:space="preserve">его </w:t>
      </w:r>
      <w:r>
        <w:rPr>
          <w:sz w:val="24"/>
        </w:rPr>
        <w:t>за днем размещения объявления.</w:t>
      </w:r>
    </w:p>
    <w:p w14:paraId="8A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 xml:space="preserve">В случае, если по окончании отбора объем бюджетных ассигнований, предусматриваемых на предоставление субсидий, не будет исчерпан, </w:t>
      </w:r>
      <w:r>
        <w:rPr>
          <w:sz w:val="24"/>
        </w:rPr>
        <w:t>Комитет может</w:t>
      </w:r>
      <w:r>
        <w:rPr>
          <w:sz w:val="24"/>
        </w:rPr>
        <w:t xml:space="preserve"> принять решение о проведении нового отбора</w:t>
      </w:r>
      <w:r>
        <w:rPr>
          <w:sz w:val="24"/>
        </w:rPr>
        <w:t>.</w:t>
      </w:r>
    </w:p>
    <w:p w14:paraId="8B000000">
      <w:pPr>
        <w:pStyle w:val="Style_9"/>
        <w:widowControl w:val="1"/>
        <w:numPr>
          <w:ilvl w:val="1"/>
          <w:numId w:val="4"/>
        </w:numPr>
        <w:tabs>
          <w:tab w:leader="none" w:pos="1042" w:val="left"/>
        </w:tabs>
        <w:spacing w:after="0" w:before="0" w:line="240" w:lineRule="auto"/>
        <w:ind w:firstLine="709" w:left="0"/>
        <w:rPr>
          <w:sz w:val="24"/>
        </w:rPr>
      </w:pPr>
      <w:r>
        <w:rPr>
          <w:color w:val="000000"/>
          <w:sz w:val="24"/>
        </w:rPr>
        <w:t xml:space="preserve">Для участия в отборе на Площадке отбора </w:t>
      </w:r>
      <w:r>
        <w:rPr>
          <w:color w:val="000000"/>
          <w:sz w:val="24"/>
        </w:rPr>
        <w:t>организацией</w:t>
      </w:r>
      <w:r>
        <w:rPr>
          <w:color w:val="000000"/>
          <w:sz w:val="24"/>
        </w:rPr>
        <w:t xml:space="preserve"> формируется личный кабинет участника отбора (далее – личный кабинет). Для указанной цели, а также для цели дальнейшего обеспечения доступа к личному кабинету </w:t>
      </w:r>
      <w:r>
        <w:rPr>
          <w:color w:val="000000"/>
          <w:sz w:val="24"/>
        </w:rPr>
        <w:t>организацией</w:t>
      </w:r>
      <w:r>
        <w:rPr>
          <w:color w:val="000000"/>
          <w:sz w:val="24"/>
        </w:rPr>
        <w:t xml:space="preserve"> осуществляет</w:t>
      </w:r>
      <w:r>
        <w:rPr>
          <w:color w:val="000000"/>
          <w:sz w:val="24"/>
        </w:rPr>
        <w:t>ся</w:t>
      </w:r>
      <w:r>
        <w:rPr>
          <w:color w:val="000000"/>
          <w:sz w:val="24"/>
        </w:rPr>
        <w:t xml:space="preserve"> авторизаци</w:t>
      </w:r>
      <w:r>
        <w:rPr>
          <w:color w:val="000000"/>
          <w:sz w:val="24"/>
        </w:rPr>
        <w:t>я</w:t>
      </w:r>
      <w:r>
        <w:rPr>
          <w:color w:val="000000"/>
          <w:sz w:val="24"/>
        </w:rPr>
        <w:t xml:space="preserve">, которая производится руководителем </w:t>
      </w:r>
      <w:r>
        <w:rPr>
          <w:color w:val="000000"/>
          <w:sz w:val="24"/>
        </w:rPr>
        <w:t>организации</w:t>
      </w:r>
      <w:r>
        <w:rPr>
          <w:color w:val="000000"/>
          <w:sz w:val="24"/>
        </w:rPr>
        <w:t xml:space="preserve"> или иным лицом, действующим от имени и в интересах </w:t>
      </w:r>
      <w:r>
        <w:rPr>
          <w:color w:val="000000"/>
          <w:sz w:val="24"/>
        </w:rPr>
        <w:t>организации</w:t>
      </w:r>
      <w:r>
        <w:rPr>
          <w:color w:val="000000"/>
          <w:sz w:val="24"/>
        </w:rPr>
        <w:t xml:space="preserve"> на основании доверенности или иного документа в соответствии с уставом </w:t>
      </w:r>
      <w:r>
        <w:rPr>
          <w:color w:val="000000"/>
          <w:sz w:val="24"/>
        </w:rPr>
        <w:t>организации</w:t>
      </w:r>
      <w:r>
        <w:rPr>
          <w:color w:val="000000"/>
          <w:sz w:val="24"/>
        </w:rPr>
        <w:t xml:space="preserve"> и(или) законодательством Российской Федерации, подтверждающего полномочия этого лица на совершение соответствующих действий от имени и в интересах </w:t>
      </w:r>
      <w:r>
        <w:rPr>
          <w:color w:val="000000"/>
          <w:sz w:val="24"/>
        </w:rPr>
        <w:t>организации</w:t>
      </w:r>
      <w:r>
        <w:rPr>
          <w:color w:val="000000"/>
          <w:sz w:val="24"/>
        </w:rPr>
        <w:t xml:space="preserve"> (далее соответственно – иное уполномоченное лицо, уполномочивающий документ), </w:t>
      </w:r>
      <w:r>
        <w:rPr>
          <w:color w:val="000000"/>
          <w:sz w:val="24"/>
        </w:rPr>
        <w:t>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Едином портале государственных (муниципальных) услуг</w:t>
      </w:r>
      <w:r>
        <w:rPr>
          <w:color w:val="000000"/>
          <w:sz w:val="24"/>
        </w:rPr>
        <w:t>)</w:t>
      </w:r>
      <w:r>
        <w:rPr>
          <w:color w:val="000000"/>
          <w:sz w:val="24"/>
        </w:rPr>
        <w:t>.</w:t>
      </w:r>
    </w:p>
    <w:p w14:paraId="8C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 xml:space="preserve">С момента авторизации в личном кабинете </w:t>
      </w:r>
      <w:r>
        <w:rPr>
          <w:sz w:val="24"/>
        </w:rPr>
        <w:t>организаци</w:t>
      </w:r>
      <w:r>
        <w:rPr>
          <w:sz w:val="24"/>
        </w:rPr>
        <w:t>я</w:t>
      </w:r>
      <w:r>
        <w:rPr>
          <w:sz w:val="24"/>
        </w:rPr>
        <w:t>, от имени которо</w:t>
      </w:r>
      <w:r>
        <w:rPr>
          <w:sz w:val="24"/>
        </w:rPr>
        <w:t>й</w:t>
      </w:r>
      <w:r>
        <w:rPr>
          <w:sz w:val="24"/>
        </w:rPr>
        <w:t xml:space="preserve"> осуществлена данная авторизация, становится участником отбора.</w:t>
      </w:r>
    </w:p>
    <w:p w14:paraId="8D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 xml:space="preserve">После авторизации в личном кабинете руководителем участника отбора или иным уполномоченным лицом заполняется соответствующая экранная форма веб-интерфейса </w:t>
      </w:r>
      <w:r>
        <w:rPr>
          <w:sz w:val="24"/>
        </w:rPr>
        <w:br/>
      </w:r>
      <w:r>
        <w:rPr>
          <w:sz w:val="24"/>
        </w:rPr>
        <w:t>АИС</w:t>
      </w:r>
      <w:r>
        <w:rPr>
          <w:sz w:val="24"/>
        </w:rPr>
        <w:t xml:space="preserve"> БП-ЭК</w:t>
      </w:r>
      <w:r>
        <w:rPr>
          <w:sz w:val="24"/>
        </w:rPr>
        <w:t xml:space="preserve"> (далее –</w:t>
      </w:r>
      <w:r>
        <w:rPr>
          <w:sz w:val="24"/>
        </w:rPr>
        <w:t xml:space="preserve"> экранная форма) с вложением скан-образа заявки по форме</w:t>
      </w:r>
      <w:r>
        <w:rPr>
          <w:sz w:val="24"/>
        </w:rPr>
        <w:t xml:space="preserve"> согласно </w:t>
      </w:r>
      <w:r>
        <w:rPr>
          <w:sz w:val="24"/>
        </w:rPr>
        <w:t>п</w:t>
      </w:r>
      <w:r>
        <w:rPr>
          <w:sz w:val="24"/>
        </w:rPr>
        <w:t>риложению</w:t>
      </w:r>
      <w:r>
        <w:rPr>
          <w:sz w:val="24"/>
        </w:rPr>
        <w:t xml:space="preserve"> № </w:t>
      </w:r>
      <w:r>
        <w:rPr>
          <w:sz w:val="24"/>
        </w:rPr>
        <w:t>1</w:t>
      </w:r>
      <w:r>
        <w:rPr>
          <w:sz w:val="24"/>
        </w:rPr>
        <w:t xml:space="preserve"> к настоящему Порядку</w:t>
      </w:r>
      <w:r>
        <w:rPr>
          <w:sz w:val="24"/>
        </w:rPr>
        <w:t xml:space="preserve"> и ск</w:t>
      </w:r>
      <w:r>
        <w:rPr>
          <w:sz w:val="24"/>
        </w:rPr>
        <w:t>ан-образов документов согласно Перечню документов</w:t>
      </w:r>
      <w:r>
        <w:rPr>
          <w:sz w:val="24"/>
        </w:rPr>
        <w:t>.</w:t>
      </w:r>
    </w:p>
    <w:p w14:paraId="8E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14:paraId="8F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 xml:space="preserve">Заявка и документы должны быть подписаны руководителем участника отбора </w:t>
      </w:r>
      <w:r>
        <w:rPr>
          <w:sz w:val="24"/>
        </w:rPr>
        <w:br/>
      </w:r>
      <w:r>
        <w:rPr>
          <w:sz w:val="24"/>
        </w:rPr>
        <w:t>или иным уполномоченным лицом.</w:t>
      </w:r>
    </w:p>
    <w:p w14:paraId="90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 xml:space="preserve">Заполненная экранная форма подлежит подписанию </w:t>
      </w:r>
      <w:r>
        <w:rPr>
          <w:sz w:val="24"/>
        </w:rPr>
        <w:t>усиленной квалифицированной электронной подписью (далее – УКЭП)</w:t>
      </w:r>
      <w:r>
        <w:rPr>
          <w:sz w:val="24"/>
        </w:rPr>
        <w:t xml:space="preserve"> участника отбора или иного уполномоченного лица, что при наличии приложенного к ней скан-образа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</w:t>
      </w:r>
      <w:r>
        <w:rPr>
          <w:sz w:val="24"/>
        </w:rPr>
        <w:t xml:space="preserve"> БП-ЭК</w:t>
      </w:r>
      <w:r>
        <w:rPr>
          <w:sz w:val="24"/>
        </w:rPr>
        <w:t>.</w:t>
      </w:r>
    </w:p>
    <w:p w14:paraId="91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 xml:space="preserve">Заполнение и подписание экранной формы в АИС </w:t>
      </w:r>
      <w:r>
        <w:rPr>
          <w:sz w:val="24"/>
        </w:rPr>
        <w:t xml:space="preserve">БП-ЭК </w:t>
      </w:r>
      <w:r>
        <w:rPr>
          <w:sz w:val="24"/>
        </w:rPr>
        <w:t xml:space="preserve">с приложением к ней </w:t>
      </w:r>
      <w:r>
        <w:rPr>
          <w:sz w:val="24"/>
        </w:rPr>
        <w:br/>
      </w:r>
      <w:r>
        <w:rPr>
          <w:sz w:val="24"/>
        </w:rPr>
        <w:t>скан-образов заявки и документов свидетельствует о подаче участником отбора заявки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br/>
      </w:r>
      <w:r>
        <w:rPr>
          <w:sz w:val="24"/>
        </w:rPr>
        <w:t>при этом поданной заявке автоматически присваивает</w:t>
      </w:r>
      <w:r>
        <w:rPr>
          <w:sz w:val="24"/>
        </w:rPr>
        <w:t xml:space="preserve">ся регистрационный номер </w:t>
      </w:r>
      <w:r>
        <w:rPr>
          <w:sz w:val="24"/>
        </w:rPr>
        <w:br/>
      </w:r>
      <w:r>
        <w:rPr>
          <w:sz w:val="24"/>
        </w:rPr>
        <w:t xml:space="preserve">(далее – </w:t>
      </w:r>
      <w:r>
        <w:rPr>
          <w:sz w:val="24"/>
        </w:rPr>
        <w:t>автоматическая регистрация).</w:t>
      </w:r>
    </w:p>
    <w:p w14:paraId="92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>Датой подачи заявки является дата ее автоматической регистрации.</w:t>
      </w:r>
    </w:p>
    <w:p w14:paraId="93000000">
      <w:pPr>
        <w:pStyle w:val="Style_9"/>
        <w:widowControl w:val="1"/>
        <w:tabs>
          <w:tab w:leader="none" w:pos="1042" w:val="left"/>
        </w:tabs>
        <w:spacing w:after="0" w:before="0" w:line="240" w:lineRule="auto"/>
        <w:ind w:firstLine="709"/>
        <w:rPr>
          <w:sz w:val="24"/>
        </w:rPr>
      </w:pPr>
      <w:r>
        <w:rPr>
          <w:sz w:val="24"/>
        </w:rPr>
        <w:t>По</w:t>
      </w:r>
      <w:r>
        <w:rPr>
          <w:sz w:val="24"/>
        </w:rPr>
        <w:t>мимо автоматической регистрации по</w:t>
      </w:r>
      <w:r>
        <w:rPr>
          <w:sz w:val="24"/>
        </w:rPr>
        <w:t>данные</w:t>
      </w:r>
      <w:r>
        <w:rPr>
          <w:sz w:val="24"/>
        </w:rPr>
        <w:t xml:space="preserve"> через личный кабинет</w:t>
      </w:r>
      <w:r>
        <w:rPr>
          <w:sz w:val="24"/>
        </w:rPr>
        <w:t xml:space="preserve"> заявки </w:t>
      </w:r>
      <w:r>
        <w:rPr>
          <w:sz w:val="24"/>
        </w:rPr>
        <w:t xml:space="preserve">подлежат входящей регистрации </w:t>
      </w:r>
      <w:r>
        <w:rPr>
          <w:sz w:val="24"/>
        </w:rPr>
        <w:t xml:space="preserve">в соответствии с Регламентом Комитета </w:t>
      </w:r>
      <w:r>
        <w:rPr>
          <w:sz w:val="24"/>
        </w:rPr>
        <w:br/>
      </w:r>
      <w:r>
        <w:rPr>
          <w:sz w:val="24"/>
        </w:rPr>
        <w:t>по промышленной политике, инновациям и торговле Санкт-Петербурга, утвержденным приказом Комитета по промышленной политике, инновациям и торговле Санкт-Петербурга от 16.02.2021 № 13-п</w:t>
      </w:r>
      <w:r>
        <w:rPr>
          <w:sz w:val="24"/>
        </w:rPr>
        <w:t xml:space="preserve"> </w:t>
      </w:r>
      <w:r>
        <w:rPr>
          <w:sz w:val="24"/>
        </w:rPr>
        <w:t>(далее –</w:t>
      </w:r>
      <w:r>
        <w:rPr>
          <w:sz w:val="24"/>
        </w:rPr>
        <w:t xml:space="preserve"> Регламент Комитета).</w:t>
      </w:r>
    </w:p>
    <w:p w14:paraId="94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  <w:rPr>
          <w:strike w:val="1"/>
        </w:rPr>
      </w:pPr>
      <w:r>
        <w:t>Проведение о</w:t>
      </w:r>
      <w:r>
        <w:t>тбор</w:t>
      </w:r>
      <w:r>
        <w:t>а</w:t>
      </w:r>
      <w:r>
        <w:t xml:space="preserve"> подлежит отмене </w:t>
      </w:r>
      <w:r>
        <w:t>на основании решения Комитета</w:t>
      </w:r>
      <w:r>
        <w:rPr>
          <w:color w:val="FF0000"/>
        </w:rPr>
        <w:t xml:space="preserve"> </w:t>
      </w:r>
      <w:r>
        <w:t>в случае отсутствия бюджетных ассигнований на предоставление субсидий.</w:t>
      </w:r>
    </w:p>
    <w:p w14:paraId="95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  <w:rPr>
          <w:strike w:val="1"/>
        </w:rPr>
      </w:pPr>
      <w:r>
        <w:t>Отбор признается несос</w:t>
      </w:r>
      <w:r>
        <w:t>тоявшимся в случа</w:t>
      </w:r>
      <w:r>
        <w:t>е</w:t>
      </w:r>
      <w:r>
        <w:t xml:space="preserve"> отсутствия </w:t>
      </w:r>
      <w:r>
        <w:t xml:space="preserve">участников отбора, </w:t>
      </w:r>
      <w:r>
        <w:br/>
      </w:r>
      <w:r>
        <w:t>при несоответствии всех участников отбора критериям отбора или</w:t>
      </w:r>
      <w:r>
        <w:t xml:space="preserve"> в случа</w:t>
      </w:r>
      <w:r>
        <w:t>е</w:t>
      </w:r>
      <w:r>
        <w:t xml:space="preserve"> </w:t>
      </w:r>
      <w:r>
        <w:t>отклонения всех заявок</w:t>
      </w:r>
      <w:r>
        <w:t>.</w:t>
      </w:r>
    </w:p>
    <w:p w14:paraId="96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  <w:rPr>
          <w:strike w:val="1"/>
        </w:rPr>
      </w:pPr>
      <w:r>
        <w:t>Объявление об отмене проведения отбора или признании отбора несостоявшимся размещается на сайте Комитета и на Площадке отбора в течение трех рабочих дней со дня принятия Комитетом соответствующего решения.</w:t>
      </w:r>
      <w:r>
        <w:t xml:space="preserve"> С указанной даты отбор считается отмененным или несостоявшимся.</w:t>
      </w:r>
    </w:p>
    <w:p w14:paraId="97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</w:pPr>
      <w:r>
        <w:t>Участники</w:t>
      </w:r>
      <w:r>
        <w:t xml:space="preserve"> отбора, подавшие заявки, несут ответственность за полноту </w:t>
      </w:r>
      <w:r>
        <w:br/>
      </w:r>
      <w:r>
        <w:t>и достове</w:t>
      </w:r>
      <w:r>
        <w:t>рность указанных в них сведений</w:t>
      </w:r>
      <w:r>
        <w:t xml:space="preserve"> и информации</w:t>
      </w:r>
      <w:r>
        <w:t xml:space="preserve">, </w:t>
      </w:r>
      <w:r>
        <w:t xml:space="preserve">а также за полноту </w:t>
      </w:r>
      <w:r>
        <w:br/>
      </w:r>
      <w:r>
        <w:t>и достоверность сведений и информации, содержащихся в представленных документах.</w:t>
      </w:r>
    </w:p>
    <w:p w14:paraId="98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</w:pPr>
      <w:r>
        <w:t xml:space="preserve">После автоматической регистрации заявки дополнительные документы </w:t>
      </w:r>
      <w:r>
        <w:br/>
      </w:r>
      <w:r>
        <w:t>от участников</w:t>
      </w:r>
      <w:r>
        <w:t xml:space="preserve"> отбора</w:t>
      </w:r>
      <w:r>
        <w:t xml:space="preserve"> не принимаются.</w:t>
      </w:r>
    </w:p>
    <w:p w14:paraId="99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</w:pPr>
      <w:r>
        <w:t xml:space="preserve">Участник отбора до даты принятия Комитетом в отношении него решения </w:t>
      </w:r>
      <w:r>
        <w:br/>
      </w:r>
      <w:r>
        <w:t>о предоставлении субсидии (об отказе в предоставлении субсидии) вправе отозвать поданную заявку через Площадку отбора. Отзыв докум</w:t>
      </w:r>
      <w:r>
        <w:t>ентов</w:t>
      </w:r>
      <w:r>
        <w:t xml:space="preserve"> отдельно от заявки </w:t>
      </w:r>
      <w:r>
        <w:br/>
      </w:r>
      <w:r>
        <w:t>не допускается.</w:t>
      </w:r>
      <w:r>
        <w:t xml:space="preserve"> </w:t>
      </w:r>
    </w:p>
    <w:p w14:paraId="9A000000">
      <w:pPr>
        <w:widowControl w:val="0"/>
        <w:tabs>
          <w:tab w:leader="none" w:pos="1276" w:val="left"/>
        </w:tabs>
        <w:ind w:firstLine="709"/>
        <w:contextualSpacing w:val="1"/>
        <w:jc w:val="both"/>
      </w:pPr>
      <w:r>
        <w:t xml:space="preserve">Отзыв участником отбора заявки не лишает его права повторно подать заявку </w:t>
      </w:r>
      <w:r>
        <w:br/>
      </w:r>
      <w:r>
        <w:t xml:space="preserve">в соответствии с настоящим Порядком до окончания срока подачи заявок, указанного </w:t>
      </w:r>
      <w:r>
        <w:br/>
      </w:r>
      <w:r>
        <w:t>в объявлении.</w:t>
      </w:r>
      <w:r>
        <w:t xml:space="preserve"> </w:t>
      </w:r>
    </w:p>
    <w:p w14:paraId="9B000000">
      <w:pPr>
        <w:widowControl w:val="0"/>
        <w:tabs>
          <w:tab w:leader="none" w:pos="1276" w:val="left"/>
        </w:tabs>
        <w:ind w:firstLine="709"/>
        <w:contextualSpacing w:val="1"/>
        <w:jc w:val="both"/>
      </w:pPr>
      <w:r>
        <w:t xml:space="preserve">Поданная повторно заявка подлежит автоматической регистрации в порядке </w:t>
      </w:r>
      <w:r>
        <w:t xml:space="preserve">общей </w:t>
      </w:r>
      <w:r>
        <w:t>очередности поступления заявок в рамках проводимого отбора как вновь поданная.</w:t>
      </w:r>
      <w:r>
        <w:t xml:space="preserve"> </w:t>
      </w:r>
    </w:p>
    <w:p w14:paraId="9C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709" w:left="-142"/>
        <w:contextualSpacing w:val="1"/>
        <w:jc w:val="both"/>
      </w:pPr>
      <w:r>
        <w:t xml:space="preserve">Внесение </w:t>
      </w:r>
      <w:r>
        <w:t>изменений в заявку и</w:t>
      </w:r>
      <w:r>
        <w:t>(или) документ</w:t>
      </w:r>
      <w:r>
        <w:t>ы, их доработка либо изъятие документов (дополнение новыми документами)</w:t>
      </w:r>
      <w:r>
        <w:t xml:space="preserve"> возможн</w:t>
      </w:r>
      <w:r>
        <w:t>ы</w:t>
      </w:r>
      <w:r>
        <w:t xml:space="preserve"> только </w:t>
      </w:r>
      <w:r>
        <w:t xml:space="preserve">посредством процедуры </w:t>
      </w:r>
      <w:r>
        <w:t>отзыва заявки</w:t>
      </w:r>
      <w:r>
        <w:t xml:space="preserve"> с последующим правом ее повторной подачи по правилам, определенным </w:t>
      </w:r>
      <w:r>
        <w:br/>
      </w:r>
      <w:r>
        <w:t xml:space="preserve">в пункте </w:t>
      </w:r>
      <w:r>
        <w:t xml:space="preserve">2.10 настоящего Порядка. </w:t>
      </w:r>
    </w:p>
    <w:p w14:paraId="9D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</w:pPr>
      <w:r>
        <w:t>Участник отбора</w:t>
      </w:r>
      <w:r>
        <w:t xml:space="preserve"> не позднее чем за семь рабочих дней до даты окончания срока подачи </w:t>
      </w:r>
      <w:r>
        <w:t>заявок</w:t>
      </w:r>
      <w:r>
        <w:t xml:space="preserve"> </w:t>
      </w:r>
      <w:r>
        <w:t>вправе направит</w:t>
      </w:r>
      <w:r>
        <w:t xml:space="preserve">ь в Комитет </w:t>
      </w:r>
      <w:r>
        <w:t xml:space="preserve">в форме электронного документа, подписанного руководителем </w:t>
      </w:r>
      <w:r>
        <w:t>участника отбора</w:t>
      </w:r>
      <w:r>
        <w:t xml:space="preserve"> </w:t>
      </w:r>
      <w:r>
        <w:t>или иным</w:t>
      </w:r>
      <w:r>
        <w:t xml:space="preserve"> уполномоченным</w:t>
      </w:r>
      <w:r>
        <w:t xml:space="preserve"> лицом</w:t>
      </w:r>
      <w:r>
        <w:t>,</w:t>
      </w:r>
      <w:r>
        <w:t xml:space="preserve"> на адрес электронной почты Комитета</w:t>
      </w:r>
      <w:r>
        <w:t xml:space="preserve">, указанный в объявлении, </w:t>
      </w:r>
      <w:r>
        <w:t>запрос о даче разъяснений положений, содержащихся в объявлении</w:t>
      </w:r>
      <w:r>
        <w:t xml:space="preserve"> (далее – запрос о даче разъяснений)</w:t>
      </w:r>
      <w:r>
        <w:t xml:space="preserve">. </w:t>
      </w:r>
    </w:p>
    <w:p w14:paraId="9E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</w:pPr>
      <w:r>
        <w:t xml:space="preserve">Комитет </w:t>
      </w:r>
      <w:r>
        <w:t>в течение четырех рабочих дней с д</w:t>
      </w:r>
      <w:r>
        <w:t xml:space="preserve">аты </w:t>
      </w:r>
      <w:r>
        <w:t>поступления</w:t>
      </w:r>
      <w:r>
        <w:t xml:space="preserve"> запроса о даче разъяснений</w:t>
      </w:r>
      <w:r>
        <w:t xml:space="preserve"> обязан направить</w:t>
      </w:r>
      <w:r>
        <w:t xml:space="preserve"> </w:t>
      </w:r>
      <w:r>
        <w:t xml:space="preserve">участнику отбора разъяснения положений, содержащихся </w:t>
      </w:r>
      <w:r>
        <w:br/>
      </w:r>
      <w:r>
        <w:t xml:space="preserve">в объявлении, </w:t>
      </w:r>
      <w:r>
        <w:t>посредством электронной почты по</w:t>
      </w:r>
      <w:r>
        <w:t xml:space="preserve"> адрес</w:t>
      </w:r>
      <w:r>
        <w:t>у, указанному</w:t>
      </w:r>
      <w:r>
        <w:t xml:space="preserve"> в заявке</w:t>
      </w:r>
      <w:r>
        <w:t>.</w:t>
      </w:r>
      <w:r>
        <w:t xml:space="preserve"> На запрос, поступивший в Комитет позднее чем за семь рабочих дней до даты окончания срока подачи заявок, разъяснения не даются. </w:t>
      </w:r>
    </w:p>
    <w:p w14:paraId="9F000000">
      <w:pPr>
        <w:pStyle w:val="Style_4"/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jc w:val="both"/>
      </w:pPr>
      <w:r>
        <w:t xml:space="preserve">Открытие Комитету доступа на Площадке отбора к заявкам </w:t>
      </w:r>
      <w:r>
        <w:br/>
      </w:r>
      <w:r>
        <w:t>для их рассмотрения осуществляется автоматически с момента автоматической регистрации заявок.</w:t>
      </w:r>
    </w:p>
    <w:p w14:paraId="A0000000">
      <w:pPr>
        <w:pStyle w:val="Style_4"/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jc w:val="both"/>
      </w:pPr>
      <w:r>
        <w:t>Рассмотрение заявок</w:t>
      </w:r>
      <w:r>
        <w:t xml:space="preserve"> и документов</w:t>
      </w:r>
      <w:r>
        <w:t xml:space="preserve"> в Комитете осуществляется отделом </w:t>
      </w:r>
      <w:r>
        <w:br/>
      </w:r>
      <w:r>
        <w:t>развития инфраструктуры малого и среднего предпринимательства Управления развития ин</w:t>
      </w:r>
      <w:r>
        <w:t>фраструктуры Комитета (далее – О</w:t>
      </w:r>
      <w:r>
        <w:t xml:space="preserve">тдел) в срок, не превышающий </w:t>
      </w:r>
      <w:r>
        <w:t>двадцати</w:t>
      </w:r>
      <w:r>
        <w:t xml:space="preserve"> рабочих дней </w:t>
      </w:r>
      <w:r>
        <w:t>с даты а</w:t>
      </w:r>
      <w:r>
        <w:t>втоматической регистрации заявки</w:t>
      </w:r>
      <w:r>
        <w:t>.</w:t>
      </w:r>
    </w:p>
    <w:p w14:paraId="A1000000">
      <w:pPr>
        <w:widowControl w:val="0"/>
        <w:numPr>
          <w:ilvl w:val="1"/>
          <w:numId w:val="4"/>
        </w:numPr>
        <w:tabs>
          <w:tab w:leader="none" w:pos="567" w:val="left"/>
          <w:tab w:leader="none" w:pos="1276" w:val="left"/>
        </w:tabs>
        <w:ind w:firstLine="567" w:left="0"/>
        <w:contextualSpacing w:val="1"/>
        <w:jc w:val="both"/>
      </w:pPr>
      <w:r>
        <w:t xml:space="preserve">Отдел в рамках рассмотрения заявок и документов проверяет и оценивает: </w:t>
      </w:r>
    </w:p>
    <w:p w14:paraId="A2000000">
      <w:pPr>
        <w:widowControl w:val="0"/>
        <w:tabs>
          <w:tab w:leader="none" w:pos="567" w:val="left"/>
          <w:tab w:leader="none" w:pos="1418" w:val="left"/>
        </w:tabs>
        <w:ind w:firstLine="567"/>
        <w:contextualSpacing w:val="1"/>
        <w:jc w:val="both"/>
      </w:pPr>
      <w:r>
        <w:t>з</w:t>
      </w:r>
      <w:r>
        <w:t>аявку</w:t>
      </w:r>
      <w:r>
        <w:t xml:space="preserve"> на предмет соответствия форме, </w:t>
      </w:r>
      <w:r>
        <w:t>установленной в</w:t>
      </w:r>
      <w:r>
        <w:t xml:space="preserve"> приложени</w:t>
      </w:r>
      <w:r>
        <w:t>и</w:t>
      </w:r>
      <w:r>
        <w:t xml:space="preserve"> № </w:t>
      </w:r>
      <w:r>
        <w:t>1</w:t>
      </w:r>
      <w:r>
        <w:t xml:space="preserve"> </w:t>
      </w:r>
      <w:r>
        <w:br/>
      </w:r>
      <w:r>
        <w:t xml:space="preserve">к настоящему Порядку, полноты и корректности </w:t>
      </w:r>
      <w:r>
        <w:t>ее</w:t>
      </w:r>
      <w:r>
        <w:t xml:space="preserve"> заполнения</w:t>
      </w:r>
      <w:r>
        <w:t xml:space="preserve">; </w:t>
      </w:r>
    </w:p>
    <w:p w14:paraId="A3000000">
      <w:pPr>
        <w:widowControl w:val="0"/>
        <w:tabs>
          <w:tab w:leader="none" w:pos="567" w:val="left"/>
          <w:tab w:leader="none" w:pos="1418" w:val="left"/>
        </w:tabs>
        <w:ind w:firstLine="567"/>
        <w:contextualSpacing w:val="1"/>
        <w:jc w:val="both"/>
      </w:pPr>
      <w:r>
        <w:t xml:space="preserve">документы на предмет их </w:t>
      </w:r>
      <w:r>
        <w:t>соответствия П</w:t>
      </w:r>
      <w:r>
        <w:t>еречн</w:t>
      </w:r>
      <w:r>
        <w:t>ю документов</w:t>
      </w:r>
      <w:r>
        <w:t xml:space="preserve">; </w:t>
      </w:r>
    </w:p>
    <w:p w14:paraId="A4000000">
      <w:pPr>
        <w:widowControl w:val="0"/>
        <w:tabs>
          <w:tab w:leader="none" w:pos="567" w:val="left"/>
          <w:tab w:leader="none" w:pos="1418" w:val="left"/>
        </w:tabs>
        <w:ind w:firstLine="567"/>
        <w:contextualSpacing w:val="1"/>
        <w:jc w:val="both"/>
      </w:pPr>
      <w:r>
        <w:t xml:space="preserve">заявку и документы на предмет соответствия участника отбора критериям отбора, </w:t>
      </w:r>
      <w:r>
        <w:br/>
      </w:r>
      <w:r>
        <w:t xml:space="preserve">в том числе запрашивает в порядке межведомственного информационного взаимодействия информацию в целях подтверждения соответствия участников отбора требованиям, установленным в </w:t>
      </w:r>
      <w:r>
        <w:t>пунктах</w:t>
      </w:r>
      <w:r>
        <w:t xml:space="preserve"> 3.1.</w:t>
      </w:r>
      <w:r>
        <w:t>3</w:t>
      </w:r>
      <w:r>
        <w:t xml:space="preserve"> и 3.1.</w:t>
      </w:r>
      <w:r>
        <w:t>4</w:t>
      </w:r>
      <w:r>
        <w:t xml:space="preserve"> настоящего Порядка</w:t>
      </w:r>
      <w:r>
        <w:t>;</w:t>
      </w:r>
    </w:p>
    <w:p w14:paraId="A5000000">
      <w:pPr>
        <w:pStyle w:val="Style_4"/>
        <w:widowControl w:val="0"/>
        <w:tabs>
          <w:tab w:leader="none" w:pos="1134" w:val="left"/>
          <w:tab w:leader="none" w:pos="1418" w:val="left"/>
          <w:tab w:leader="none" w:pos="1560" w:val="left"/>
        </w:tabs>
        <w:ind w:firstLine="567" w:left="0"/>
        <w:jc w:val="both"/>
      </w:pPr>
      <w:r>
        <w:t xml:space="preserve">достоверность сведений </w:t>
      </w:r>
      <w:r>
        <w:t>и информации</w:t>
      </w:r>
      <w:r>
        <w:t>, содержащихся в заявке и документах, путем их сопоставления между собой, с информацией, полученной из открытых источников, способами, не запрещенными действующим законодательством</w:t>
      </w:r>
      <w:r>
        <w:t xml:space="preserve"> Российской Федерации</w:t>
      </w:r>
      <w:r>
        <w:t>;</w:t>
      </w:r>
    </w:p>
    <w:p w14:paraId="A6000000">
      <w:pPr>
        <w:widowControl w:val="0"/>
        <w:tabs>
          <w:tab w:leader="none" w:pos="567" w:val="left"/>
          <w:tab w:leader="none" w:pos="1418" w:val="left"/>
        </w:tabs>
        <w:ind w:firstLine="567"/>
        <w:contextualSpacing w:val="1"/>
        <w:jc w:val="both"/>
      </w:pPr>
      <w:r>
        <w:t>расчет размера суб</w:t>
      </w:r>
      <w:r>
        <w:t xml:space="preserve">сидий на предмет соответствия форме, установленной </w:t>
      </w:r>
      <w:r>
        <w:br/>
      </w:r>
      <w:r>
        <w:t xml:space="preserve">в </w:t>
      </w:r>
      <w:r>
        <w:t xml:space="preserve">приложении № </w:t>
      </w:r>
      <w:r>
        <w:t>1</w:t>
      </w:r>
      <w:r>
        <w:t xml:space="preserve"> к </w:t>
      </w:r>
      <w:r>
        <w:t>Перечню документов</w:t>
      </w:r>
      <w:r>
        <w:t>, а такж</w:t>
      </w:r>
      <w:r>
        <w:t>е правильность и обоснованность произведенн</w:t>
      </w:r>
      <w:r>
        <w:t>ых</w:t>
      </w:r>
      <w:r>
        <w:t xml:space="preserve"> расчет</w:t>
      </w:r>
      <w:r>
        <w:t>ов</w:t>
      </w:r>
      <w:r>
        <w:t>.</w:t>
      </w:r>
    </w:p>
    <w:p w14:paraId="A7000000">
      <w:pPr>
        <w:widowControl w:val="0"/>
        <w:numPr>
          <w:ilvl w:val="1"/>
          <w:numId w:val="4"/>
        </w:numPr>
        <w:tabs>
          <w:tab w:leader="none" w:pos="567" w:val="left"/>
          <w:tab w:leader="none" w:pos="1276" w:val="left"/>
        </w:tabs>
        <w:ind w:firstLine="567" w:left="0"/>
        <w:contextualSpacing w:val="1"/>
        <w:jc w:val="both"/>
      </w:pPr>
      <w:r>
        <w:t>По результатам</w:t>
      </w:r>
      <w:r>
        <w:t xml:space="preserve"> рассмотрения заяв</w:t>
      </w:r>
      <w:r>
        <w:t>ок</w:t>
      </w:r>
      <w:r>
        <w:t xml:space="preserve"> </w:t>
      </w:r>
      <w:r>
        <w:t>и документов</w:t>
      </w:r>
      <w:r>
        <w:t xml:space="preserve"> в отношении каждого участника отбора О</w:t>
      </w:r>
      <w:r>
        <w:t xml:space="preserve">тдел </w:t>
      </w:r>
      <w:r>
        <w:t>обеспечивает подготовку</w:t>
      </w:r>
      <w:r>
        <w:t xml:space="preserve"> заключени</w:t>
      </w:r>
      <w:r>
        <w:t>я</w:t>
      </w:r>
      <w:r>
        <w:t>, содержаще</w:t>
      </w:r>
      <w:r>
        <w:t>го</w:t>
      </w:r>
      <w:r>
        <w:t xml:space="preserve"> выводы </w:t>
      </w:r>
      <w:r>
        <w:br/>
      </w:r>
      <w:r>
        <w:t xml:space="preserve">о наличии оснований для предоставления субсидии (далее – положительное заключение), </w:t>
      </w:r>
      <w:r>
        <w:t>или</w:t>
      </w:r>
      <w:r>
        <w:t xml:space="preserve"> об отсутствии таких оснований (далее – отрицательное заключение).</w:t>
      </w:r>
    </w:p>
    <w:p w14:paraId="A8000000">
      <w:pPr>
        <w:widowControl w:val="0"/>
        <w:numPr>
          <w:ilvl w:val="1"/>
          <w:numId w:val="4"/>
        </w:numPr>
        <w:tabs>
          <w:tab w:leader="none" w:pos="567" w:val="left"/>
          <w:tab w:leader="none" w:pos="1276" w:val="left"/>
        </w:tabs>
        <w:ind w:firstLine="567" w:left="0"/>
        <w:contextualSpacing w:val="1"/>
        <w:jc w:val="both"/>
      </w:pPr>
      <w:r>
        <w:t>Основани</w:t>
      </w:r>
      <w:r>
        <w:t>ями</w:t>
      </w:r>
      <w:r>
        <w:t xml:space="preserve"> для принятия Комитет</w:t>
      </w:r>
      <w:r>
        <w:t>ом решения об отклонении заявки</w:t>
      </w:r>
      <w:r>
        <w:br/>
      </w:r>
      <w:r>
        <w:t>и подготовки отрицательного заключения являются</w:t>
      </w:r>
      <w:r>
        <w:t>:</w:t>
      </w:r>
    </w:p>
    <w:p w14:paraId="A9000000">
      <w:pPr>
        <w:widowControl w:val="0"/>
        <w:tabs>
          <w:tab w:leader="none" w:pos="567" w:val="left"/>
          <w:tab w:leader="none" w:pos="1276" w:val="left"/>
        </w:tabs>
        <w:ind w:firstLine="567"/>
        <w:contextualSpacing w:val="1"/>
        <w:jc w:val="both"/>
      </w:pPr>
      <w:r>
        <w:t xml:space="preserve">несоответствие </w:t>
      </w:r>
      <w:r>
        <w:t xml:space="preserve">участника отбора </w:t>
      </w:r>
      <w:r>
        <w:t>условиям и(или)</w:t>
      </w:r>
      <w:r>
        <w:t xml:space="preserve"> критериям, установленным </w:t>
      </w:r>
      <w:r>
        <w:br/>
      </w:r>
      <w:r>
        <w:t>в разделе 3 настоящего Порядка</w:t>
      </w:r>
      <w:r>
        <w:t xml:space="preserve">; </w:t>
      </w:r>
    </w:p>
    <w:p w14:paraId="AA000000">
      <w:pPr>
        <w:widowControl w:val="0"/>
        <w:tabs>
          <w:tab w:leader="none" w:pos="567" w:val="left"/>
          <w:tab w:leader="none" w:pos="1276" w:val="left"/>
        </w:tabs>
        <w:ind w:firstLine="567"/>
        <w:contextualSpacing w:val="1"/>
        <w:jc w:val="both"/>
      </w:pPr>
      <w:r>
        <w:t>несоответствие участника отбора категории, указанной в пункте 1.4 настоящего Порядка;</w:t>
      </w:r>
    </w:p>
    <w:p w14:paraId="AB000000">
      <w:pPr>
        <w:widowControl w:val="0"/>
        <w:tabs>
          <w:tab w:leader="none" w:pos="567" w:val="left"/>
          <w:tab w:leader="none" w:pos="1276" w:val="left"/>
        </w:tabs>
        <w:ind w:firstLine="567"/>
        <w:contextualSpacing w:val="1"/>
        <w:jc w:val="both"/>
      </w:pPr>
      <w:r>
        <w:t xml:space="preserve">несоответствие представленной участником отбора заявки установленной форме </w:t>
      </w:r>
      <w:r>
        <w:br/>
      </w:r>
      <w:r>
        <w:t xml:space="preserve">(в том числе, если для заполнения заявки на предоставление субсидий в личном кабинете </w:t>
      </w:r>
      <w:r>
        <w:br/>
      </w:r>
      <w:r>
        <w:t>на Площадке отбора выбрана другая форма заявки</w:t>
      </w:r>
      <w:r>
        <w:t xml:space="preserve">, либо осуществлено неполное </w:t>
      </w:r>
      <w:r>
        <w:br/>
      </w:r>
      <w:r>
        <w:t>и</w:t>
      </w:r>
      <w:r>
        <w:t>(или) некорректное заполнение формы заявки</w:t>
      </w:r>
      <w:r>
        <w:t>)</w:t>
      </w:r>
      <w:r>
        <w:t>;</w:t>
      </w:r>
    </w:p>
    <w:p w14:paraId="AC000000">
      <w:pPr>
        <w:widowControl w:val="0"/>
        <w:tabs>
          <w:tab w:leader="none" w:pos="567" w:val="left"/>
          <w:tab w:leader="none" w:pos="1276" w:val="left"/>
        </w:tabs>
        <w:ind w:firstLine="567"/>
        <w:contextualSpacing w:val="1"/>
        <w:jc w:val="both"/>
      </w:pPr>
      <w:r>
        <w:t xml:space="preserve">несоответствие </w:t>
      </w:r>
      <w:r>
        <w:t xml:space="preserve">представленных участником отбора документов условиям </w:t>
      </w:r>
      <w:r>
        <w:br/>
      </w:r>
      <w:r>
        <w:t xml:space="preserve">и требованиям, установленным в </w:t>
      </w:r>
      <w:r>
        <w:t xml:space="preserve">настоящем </w:t>
      </w:r>
      <w:r>
        <w:t xml:space="preserve">Порядке, или непредставление (представление </w:t>
      </w:r>
      <w:r>
        <w:br/>
      </w:r>
      <w:r>
        <w:t>не в полном объеме) документов, в том числе невозможность визуального распознавания содержания документов, включая их реквизиты;</w:t>
      </w:r>
    </w:p>
    <w:p w14:paraId="AD000000">
      <w:pPr>
        <w:widowControl w:val="0"/>
        <w:tabs>
          <w:tab w:leader="none" w:pos="567" w:val="left"/>
          <w:tab w:leader="none" w:pos="1276" w:val="left"/>
        </w:tabs>
        <w:ind w:firstLine="567"/>
        <w:contextualSpacing w:val="1"/>
        <w:jc w:val="both"/>
      </w:pPr>
      <w:r>
        <w:t>недостоверность информации, содержащейся в документах;</w:t>
      </w:r>
    </w:p>
    <w:p w14:paraId="AE000000">
      <w:pPr>
        <w:widowControl w:val="0"/>
        <w:tabs>
          <w:tab w:leader="none" w:pos="567" w:val="left"/>
          <w:tab w:leader="none" w:pos="1276" w:val="left"/>
        </w:tabs>
        <w:ind w:firstLine="567"/>
        <w:contextualSpacing w:val="1"/>
        <w:jc w:val="both"/>
      </w:pPr>
      <w:r>
        <w:t xml:space="preserve">подача участником отбора заявки после даты и(или) времени, </w:t>
      </w:r>
      <w:r>
        <w:t xml:space="preserve">определенных </w:t>
      </w:r>
      <w:r>
        <w:br/>
      </w:r>
      <w:r>
        <w:t xml:space="preserve">для </w:t>
      </w:r>
      <w:r>
        <w:t xml:space="preserve">их </w:t>
      </w:r>
      <w:r>
        <w:t>подачи</w:t>
      </w:r>
      <w:r>
        <w:t>;</w:t>
      </w:r>
    </w:p>
    <w:p w14:paraId="AF000000">
      <w:pPr>
        <w:widowControl w:val="0"/>
        <w:tabs>
          <w:tab w:leader="none" w:pos="567" w:val="left"/>
          <w:tab w:leader="none" w:pos="1276" w:val="left"/>
        </w:tabs>
        <w:ind w:firstLine="567"/>
        <w:contextualSpacing w:val="1"/>
        <w:jc w:val="both"/>
      </w:pPr>
      <w:r>
        <w:t>отсутствие бюджетных ассигнований на предоставление субсидий на дату рассмотрения заявки и документов.</w:t>
      </w:r>
    </w:p>
    <w:p w14:paraId="B0000000">
      <w:pPr>
        <w:widowControl w:val="0"/>
        <w:tabs>
          <w:tab w:leader="none" w:pos="567" w:val="left"/>
          <w:tab w:leader="none" w:pos="1276" w:val="left"/>
        </w:tabs>
        <w:ind w:firstLine="567"/>
        <w:contextualSpacing w:val="1"/>
        <w:jc w:val="both"/>
      </w:pPr>
      <w:r>
        <w:t xml:space="preserve">Решение Комитета об </w:t>
      </w:r>
      <w:r>
        <w:t>отказе в предоставлении субсидии принимается на основании отриц</w:t>
      </w:r>
      <w:r>
        <w:t xml:space="preserve">ательного заключения в течение </w:t>
      </w:r>
      <w:r>
        <w:t>пяти</w:t>
      </w:r>
      <w:r>
        <w:t xml:space="preserve"> рабочих дней с даты подписания заключения. Данное решение оформляется письмом Комитета с указанием причин отказа, которое направляется участнику отбора Комитетом по адресу электронной почты, указанному </w:t>
      </w:r>
      <w:r>
        <w:br/>
      </w:r>
      <w:r>
        <w:t>в заявке, в течение трех рабочих дней со дня принятия Комитетом дан</w:t>
      </w:r>
      <w:r>
        <w:t>ного решения</w:t>
      </w:r>
      <w:r>
        <w:t xml:space="preserve">. </w:t>
      </w:r>
    </w:p>
    <w:p w14:paraId="B1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</w:pPr>
      <w:r>
        <w:t>Основани</w:t>
      </w:r>
      <w:r>
        <w:t>ем</w:t>
      </w:r>
      <w:r>
        <w:t xml:space="preserve"> для подготовки</w:t>
      </w:r>
      <w:r>
        <w:t xml:space="preserve"> </w:t>
      </w:r>
      <w:r>
        <w:t xml:space="preserve">положительного заключения в отношении конкретного участника отбора является отсутствие оснований для отклонения заявки </w:t>
      </w:r>
      <w:r>
        <w:br/>
      </w:r>
      <w:r>
        <w:t>и подготовки отрицательного зак</w:t>
      </w:r>
      <w:r>
        <w:t>лючения, указанных в пункте 2.18</w:t>
      </w:r>
      <w:r>
        <w:t xml:space="preserve"> настоящего Порядка</w:t>
      </w:r>
      <w:r>
        <w:t>.</w:t>
      </w:r>
      <w:r>
        <w:t xml:space="preserve"> </w:t>
      </w:r>
    </w:p>
    <w:p w14:paraId="B2000000">
      <w:pPr>
        <w:widowControl w:val="1"/>
        <w:tabs>
          <w:tab w:leader="none" w:pos="1276" w:val="left"/>
        </w:tabs>
        <w:ind w:firstLine="567"/>
        <w:jc w:val="both"/>
      </w:pPr>
      <w:r>
        <w:t xml:space="preserve">В случае представления </w:t>
      </w:r>
      <w:r>
        <w:t xml:space="preserve">участником отбора </w:t>
      </w:r>
      <w:r>
        <w:t xml:space="preserve">в составе документов </w:t>
      </w:r>
      <w:r>
        <w:t xml:space="preserve">наряду </w:t>
      </w:r>
      <w:r>
        <w:br/>
      </w:r>
      <w:r>
        <w:t xml:space="preserve">с </w:t>
      </w:r>
      <w:r>
        <w:t>документ</w:t>
      </w:r>
      <w:r>
        <w:t>ами, имеющими надлежащее обоснование размера субсидии, документов</w:t>
      </w:r>
      <w:r>
        <w:t xml:space="preserve"> </w:t>
      </w:r>
      <w:r>
        <w:br/>
      </w:r>
      <w:r>
        <w:t xml:space="preserve">в части </w:t>
      </w:r>
      <w:r>
        <w:t xml:space="preserve">затрат, не подлежащих возмещению за счет средств субсидии, </w:t>
      </w:r>
      <w:r>
        <w:br/>
      </w:r>
      <w:r>
        <w:t>и</w:t>
      </w:r>
      <w:r>
        <w:t>(или)</w:t>
      </w:r>
      <w:r>
        <w:t xml:space="preserve"> непредставления док</w:t>
      </w:r>
      <w:r>
        <w:t>ументов на указанную в заявке</w:t>
      </w:r>
      <w:r>
        <w:t xml:space="preserve"> часть затрат, </w:t>
      </w:r>
      <w:r>
        <w:br/>
      </w:r>
      <w:r>
        <w:t>и</w:t>
      </w:r>
      <w:r>
        <w:t>(или)</w:t>
      </w:r>
      <w:r>
        <w:t xml:space="preserve"> в случае наличия </w:t>
      </w:r>
      <w:r>
        <w:t>а</w:t>
      </w:r>
      <w:r>
        <w:t>рифметических ош</w:t>
      </w:r>
      <w:r>
        <w:t>ибок в расчете размера субсидии</w:t>
      </w:r>
      <w:r>
        <w:t xml:space="preserve"> </w:t>
      </w:r>
      <w:r>
        <w:t>О</w:t>
      </w:r>
      <w:r>
        <w:t xml:space="preserve">тдел </w:t>
      </w:r>
      <w:r>
        <w:br/>
      </w:r>
      <w:r>
        <w:t>также подготавливает положительное заключение</w:t>
      </w:r>
      <w:r>
        <w:t xml:space="preserve"> </w:t>
      </w:r>
      <w:r>
        <w:t>в части затрат, подлежащих возмещению</w:t>
      </w:r>
      <w:r>
        <w:t xml:space="preserve"> за счет средств субсидии и имеющих надлежащее обоснование ее размера</w:t>
      </w:r>
      <w:r>
        <w:t>.</w:t>
      </w:r>
    </w:p>
    <w:p w14:paraId="B3000000">
      <w:pPr>
        <w:widowControl w:val="1"/>
        <w:tabs>
          <w:tab w:leader="none" w:pos="1276" w:val="left"/>
        </w:tabs>
        <w:ind w:firstLine="567"/>
        <w:jc w:val="both"/>
      </w:pPr>
      <w:r>
        <w:t xml:space="preserve">Если имеются основания для предоставления участнику отбора субсидий, </w:t>
      </w:r>
      <w:r>
        <w:br/>
      </w:r>
      <w:r>
        <w:t xml:space="preserve">но бюджетные ассигнования, предусмотренные для предоставления субсидий, исчерпались (в том числе </w:t>
      </w:r>
      <w:r>
        <w:t>с учетом</w:t>
      </w:r>
      <w:r>
        <w:t xml:space="preserve"> положительны</w:t>
      </w:r>
      <w:r>
        <w:t>х</w:t>
      </w:r>
      <w:r>
        <w:t xml:space="preserve"> заключени</w:t>
      </w:r>
      <w:r>
        <w:t>й</w:t>
      </w:r>
      <w:r>
        <w:t xml:space="preserve"> в отношении рассмотренных заявок</w:t>
      </w:r>
      <w:r>
        <w:t>,</w:t>
      </w:r>
      <w:r>
        <w:t xml:space="preserve"> </w:t>
      </w:r>
      <w:r>
        <w:br/>
      </w:r>
      <w:r>
        <w:t>по которым еще не принят</w:t>
      </w:r>
      <w:r>
        <w:t>ы</w:t>
      </w:r>
      <w:r>
        <w:t xml:space="preserve"> решени</w:t>
      </w:r>
      <w:r>
        <w:t>я</w:t>
      </w:r>
      <w:r>
        <w:t xml:space="preserve"> в соответствии с </w:t>
      </w:r>
      <w:r>
        <w:t>пунктом 2.</w:t>
      </w:r>
      <w:r>
        <w:t>20</w:t>
      </w:r>
      <w:r>
        <w:t xml:space="preserve"> настоящего Порядка) </w:t>
      </w:r>
      <w:r>
        <w:br/>
      </w:r>
      <w:r>
        <w:t xml:space="preserve">до остатка меньшего, чем размер субсидии, на который претендует данный участник отбора, </w:t>
      </w:r>
      <w:r>
        <w:t>О</w:t>
      </w:r>
      <w:r>
        <w:t>тдел</w:t>
      </w:r>
      <w:r>
        <w:t xml:space="preserve"> также подготавливает положительное заключение, в котором содержатся выводы о наличии оснований для предоставления субсидии в размере, соответствующем объему остатка средств бюджетных ассигнований.</w:t>
      </w:r>
    </w:p>
    <w:p w14:paraId="B4000000">
      <w:pPr>
        <w:widowControl w:val="0"/>
        <w:numPr>
          <w:ilvl w:val="1"/>
          <w:numId w:val="4"/>
        </w:numPr>
        <w:tabs>
          <w:tab w:leader="none" w:pos="1276" w:val="left"/>
        </w:tabs>
        <w:ind w:firstLine="567" w:left="0"/>
        <w:contextualSpacing w:val="1"/>
        <w:jc w:val="both"/>
      </w:pPr>
      <w:r>
        <w:t>Решение Комитета о предоставлении субсидии принимается на основании положительного заключения</w:t>
      </w:r>
      <w:r>
        <w:t>. Данное решение оформляется</w:t>
      </w:r>
      <w:r>
        <w:t xml:space="preserve"> путем издания распоряжения Комитета</w:t>
      </w:r>
      <w:r>
        <w:t xml:space="preserve"> о предоставлении субсидии (далее – Распоряжение) не позднее </w:t>
      </w:r>
      <w:r>
        <w:t>тридцати</w:t>
      </w:r>
      <w:r>
        <w:t xml:space="preserve"> рабочих дней с даты </w:t>
      </w:r>
      <w:r>
        <w:t>окончания приема заявок</w:t>
      </w:r>
      <w:r>
        <w:t>.</w:t>
      </w:r>
    </w:p>
    <w:p w14:paraId="B5000000">
      <w:pPr>
        <w:widowControl w:val="0"/>
        <w:tabs>
          <w:tab w:leader="none" w:pos="1276" w:val="left"/>
        </w:tabs>
        <w:ind w:firstLine="567"/>
        <w:contextualSpacing w:val="1"/>
        <w:jc w:val="both"/>
      </w:pPr>
      <w:r>
        <w:t xml:space="preserve">В Распоряжении указываются победитель отбора, размер предоставляемой субсидии, </w:t>
      </w:r>
      <w:r>
        <w:br/>
      </w:r>
      <w:r>
        <w:t xml:space="preserve">а также последствия, </w:t>
      </w:r>
      <w:r>
        <w:t>наступающие</w:t>
      </w:r>
      <w:r>
        <w:t xml:space="preserve"> </w:t>
      </w:r>
      <w:r>
        <w:t>в случае неподписания соглашения со стороны получателя субсидии.</w:t>
      </w:r>
    </w:p>
    <w:p w14:paraId="B6000000">
      <w:pPr>
        <w:widowControl w:val="0"/>
        <w:tabs>
          <w:tab w:leader="none" w:pos="1276" w:val="left"/>
        </w:tabs>
        <w:ind w:firstLine="567"/>
        <w:contextualSpacing w:val="1"/>
        <w:jc w:val="both"/>
      </w:pPr>
      <w:r>
        <w:t xml:space="preserve">Датой определения </w:t>
      </w:r>
      <w:r>
        <w:t>победителя</w:t>
      </w:r>
      <w:r>
        <w:t xml:space="preserve"> отбора в качестве получателя субсидии является дата издания </w:t>
      </w:r>
      <w:r>
        <w:t xml:space="preserve">в отношении него </w:t>
      </w:r>
      <w:r>
        <w:t xml:space="preserve">Распоряжения. </w:t>
      </w:r>
    </w:p>
    <w:p w14:paraId="B7000000">
      <w:pPr>
        <w:pStyle w:val="Style_4"/>
        <w:widowControl w:val="1"/>
        <w:numPr>
          <w:ilvl w:val="1"/>
          <w:numId w:val="4"/>
        </w:numPr>
        <w:tabs>
          <w:tab w:leader="none" w:pos="1276" w:val="left"/>
        </w:tabs>
        <w:ind w:firstLine="567" w:left="0"/>
        <w:jc w:val="both"/>
      </w:pPr>
      <w:r>
        <w:t>Протокол подве</w:t>
      </w:r>
      <w:r>
        <w:t xml:space="preserve">дения итогов отбора </w:t>
      </w:r>
      <w:r>
        <w:t>не позднее четырнадцати</w:t>
      </w:r>
      <w:r>
        <w:t xml:space="preserve"> календарн</w:t>
      </w:r>
      <w:r>
        <w:t>ых</w:t>
      </w:r>
      <w:r>
        <w:t xml:space="preserve"> дн</w:t>
      </w:r>
      <w:r>
        <w:t>ей</w:t>
      </w:r>
      <w:r>
        <w:t xml:space="preserve">, </w:t>
      </w:r>
      <w:r>
        <w:t>следующих</w:t>
      </w:r>
      <w:r>
        <w:t xml:space="preserve"> за днем определения победител</w:t>
      </w:r>
      <w:r>
        <w:t>я (победителей)</w:t>
      </w:r>
      <w:r>
        <w:t xml:space="preserve"> отбора, размещается </w:t>
      </w:r>
      <w:r>
        <w:br/>
      </w:r>
      <w:r>
        <w:t xml:space="preserve">на сайте Комитета </w:t>
      </w:r>
      <w:r>
        <w:t xml:space="preserve"> и Площадке отбора </w:t>
      </w:r>
      <w:r>
        <w:t xml:space="preserve">и включает в себя следующие сведения: </w:t>
      </w:r>
    </w:p>
    <w:p w14:paraId="B8000000">
      <w:pPr>
        <w:widowControl w:val="0"/>
        <w:tabs>
          <w:tab w:leader="none" w:pos="1276" w:val="left"/>
        </w:tabs>
        <w:ind w:firstLine="567"/>
        <w:contextualSpacing w:val="1"/>
        <w:jc w:val="both"/>
      </w:pPr>
      <w:r>
        <w:t xml:space="preserve">дату, время и место проведения </w:t>
      </w:r>
      <w:r>
        <w:t xml:space="preserve">процедуры </w:t>
      </w:r>
      <w:r>
        <w:t>рассмотрения</w:t>
      </w:r>
      <w:r>
        <w:t xml:space="preserve"> заявок</w:t>
      </w:r>
      <w:r>
        <w:t xml:space="preserve"> и документов</w:t>
      </w:r>
      <w:r>
        <w:t>;</w:t>
      </w:r>
    </w:p>
    <w:p w14:paraId="B9000000">
      <w:pPr>
        <w:widowControl w:val="0"/>
        <w:tabs>
          <w:tab w:leader="none" w:pos="1276" w:val="left"/>
        </w:tabs>
        <w:ind w:firstLine="567"/>
        <w:contextualSpacing w:val="1"/>
        <w:jc w:val="both"/>
      </w:pPr>
      <w:r>
        <w:t xml:space="preserve">информацию об участниках отбора, </w:t>
      </w:r>
      <w:r>
        <w:t xml:space="preserve">заявки </w:t>
      </w:r>
      <w:r>
        <w:t>кото</w:t>
      </w:r>
      <w:r>
        <w:t>рых были рассмотрены</w:t>
      </w:r>
      <w:r>
        <w:t>;</w:t>
      </w:r>
    </w:p>
    <w:p w14:paraId="BA000000">
      <w:pPr>
        <w:widowControl w:val="0"/>
        <w:tabs>
          <w:tab w:leader="none" w:pos="1276" w:val="left"/>
        </w:tabs>
        <w:ind w:firstLine="567"/>
        <w:contextualSpacing w:val="1"/>
        <w:jc w:val="both"/>
      </w:pPr>
      <w:r>
        <w:t>информацию</w:t>
      </w:r>
      <w:r>
        <w:t xml:space="preserve"> об участниках отбора, заявки</w:t>
      </w:r>
      <w:r>
        <w:t xml:space="preserve"> которых были отклонены, с указанием причин их отклонения, в том числе</w:t>
      </w:r>
      <w:r>
        <w:t xml:space="preserve"> положений объявления, которым </w:t>
      </w:r>
      <w:r>
        <w:t>не соответст</w:t>
      </w:r>
      <w:r>
        <w:t>вуют такие заявки</w:t>
      </w:r>
      <w:r>
        <w:t>;</w:t>
      </w:r>
    </w:p>
    <w:p w14:paraId="BB000000">
      <w:pPr>
        <w:widowControl w:val="0"/>
        <w:tabs>
          <w:tab w:leader="none" w:pos="1276" w:val="left"/>
        </w:tabs>
        <w:ind w:firstLine="709"/>
        <w:contextualSpacing w:val="1"/>
        <w:jc w:val="both"/>
      </w:pPr>
      <w:r>
        <w:t>наименование победителей отбора (получателей субсидий), с которым</w:t>
      </w:r>
      <w:r>
        <w:t xml:space="preserve">и </w:t>
      </w:r>
      <w:r>
        <w:t xml:space="preserve">подлежат заключению </w:t>
      </w:r>
      <w:r>
        <w:t>соглашения, и размер предоставляем</w:t>
      </w:r>
      <w:r>
        <w:t xml:space="preserve">ых </w:t>
      </w:r>
      <w:r>
        <w:t>им субсиди</w:t>
      </w:r>
      <w:r>
        <w:t>й</w:t>
      </w:r>
      <w:r>
        <w:t>.</w:t>
      </w:r>
    </w:p>
    <w:p w14:paraId="BC000000">
      <w:pPr>
        <w:widowControl w:val="0"/>
        <w:tabs>
          <w:tab w:leader="none" w:pos="1276" w:val="left"/>
        </w:tabs>
        <w:ind w:firstLine="709"/>
        <w:contextualSpacing w:val="1"/>
        <w:jc w:val="both"/>
      </w:pPr>
    </w:p>
    <w:p w14:paraId="BD000000">
      <w:pPr>
        <w:widowControl w:val="0"/>
        <w:numPr>
          <w:ilvl w:val="0"/>
          <w:numId w:val="4"/>
        </w:numPr>
        <w:tabs>
          <w:tab w:leader="none" w:pos="1134" w:val="left"/>
        </w:tabs>
        <w:ind/>
        <w:contextualSpacing w:val="1"/>
        <w:jc w:val="center"/>
        <w:rPr>
          <w:b w:val="1"/>
        </w:rPr>
      </w:pPr>
      <w:r>
        <w:rPr>
          <w:b w:val="1"/>
        </w:rPr>
        <w:t>Условия предоставления субсидий,</w:t>
      </w:r>
      <w:r>
        <w:rPr>
          <w:b w:val="1"/>
        </w:rPr>
        <w:t xml:space="preserve"> </w:t>
      </w:r>
      <w:r>
        <w:rPr>
          <w:b w:val="1"/>
        </w:rPr>
        <w:t>требования к участникам отбора</w:t>
      </w:r>
    </w:p>
    <w:p w14:paraId="BE000000">
      <w:pPr>
        <w:widowControl w:val="0"/>
        <w:tabs>
          <w:tab w:leader="none" w:pos="1134" w:val="left"/>
        </w:tabs>
        <w:ind/>
        <w:contextualSpacing w:val="1"/>
        <w:jc w:val="center"/>
      </w:pPr>
    </w:p>
    <w:p w14:paraId="BF000000">
      <w:pPr>
        <w:pStyle w:val="Style_4"/>
        <w:widowControl w:val="1"/>
        <w:numPr>
          <w:ilvl w:val="1"/>
          <w:numId w:val="5"/>
        </w:numPr>
        <w:ind w:firstLine="567" w:left="0"/>
        <w:jc w:val="both"/>
        <w:rPr>
          <w:i w:val="1"/>
        </w:rPr>
      </w:pPr>
      <w:r>
        <w:t>Для получения субсидий участники отбора должны соответствовать следующим требованиям</w:t>
      </w:r>
      <w:r>
        <w:t>:</w:t>
      </w:r>
    </w:p>
    <w:p w14:paraId="C0000000">
      <w:pPr>
        <w:pStyle w:val="Style_4"/>
        <w:widowControl w:val="0"/>
        <w:numPr>
          <w:ilvl w:val="2"/>
          <w:numId w:val="5"/>
        </w:numPr>
        <w:tabs>
          <w:tab w:leader="none" w:pos="851" w:val="left"/>
          <w:tab w:leader="none" w:pos="1418" w:val="left"/>
        </w:tabs>
        <w:ind w:firstLine="567" w:left="0"/>
        <w:jc w:val="both"/>
      </w:pPr>
      <w:r>
        <w:t xml:space="preserve">На </w:t>
      </w:r>
      <w:r>
        <w:t xml:space="preserve">дату </w:t>
      </w:r>
      <w:r>
        <w:t>подачи заявки</w:t>
      </w:r>
      <w:r>
        <w:t>:</w:t>
      </w:r>
    </w:p>
    <w:p w14:paraId="C1000000">
      <w:pPr>
        <w:widowControl w:val="0"/>
        <w:tabs>
          <w:tab w:leader="none" w:pos="851" w:val="left"/>
          <w:tab w:leader="none" w:pos="1418" w:val="left"/>
        </w:tabs>
        <w:ind w:firstLine="567"/>
        <w:contextualSpacing w:val="1"/>
        <w:jc w:val="both"/>
      </w:pPr>
      <w: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</w:t>
      </w:r>
      <w:r>
        <w:t xml:space="preserve">включенные </w:t>
      </w:r>
      <w:r>
        <w:t>в утвержденный Министерством финансов Российской</w:t>
      </w:r>
      <w:r>
        <w:t xml:space="preserve"> Федерации перечень государств </w:t>
      </w:r>
      <w:r>
        <w:t xml:space="preserve">и территорий, используемых для промежуточного (офшорного) владения </w:t>
      </w:r>
      <w:r>
        <w:t xml:space="preserve">активами </w:t>
      </w:r>
      <w:r>
        <w:t xml:space="preserve">в Российской Федерации (далее – офшорные компании), а также российским юридическим лицом, </w:t>
      </w:r>
      <w:r>
        <w:br/>
      </w:r>
      <w: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>
        <w:br/>
      </w:r>
      <w:r>
        <w:t>не предусмотрено законодательством Российской Федерации). При расчете доли участия офшорных компаний в капитале российских юридических</w:t>
      </w:r>
      <w:r>
        <w:t xml:space="preserve"> лиц не учитывается</w:t>
      </w:r>
      <w:r>
        <w:t xml:space="preserve"> прямое </w:t>
      </w:r>
      <w:r>
        <w:br/>
      </w:r>
      <w:r>
        <w:t>и</w:t>
      </w:r>
      <w:r>
        <w:t>(или)</w:t>
      </w:r>
      <w:r>
        <w:t xml:space="preserve"> </w:t>
      </w:r>
      <w:r>
        <w:t>косвенное участие офшорных компаний в капитале публичных</w:t>
      </w:r>
      <w:r>
        <w:t xml:space="preserve"> </w:t>
      </w:r>
      <w:r>
        <w:t>акционерных обществ (в том числе со статусом международной</w:t>
      </w:r>
      <w:r>
        <w:t xml:space="preserve"> </w:t>
      </w:r>
      <w:r>
        <w:t xml:space="preserve">компании), акции которых обращаются </w:t>
      </w:r>
      <w:r>
        <w:br/>
      </w:r>
      <w:r>
        <w:t>на организованных</w:t>
      </w:r>
      <w:r>
        <w:t xml:space="preserve"> </w:t>
      </w:r>
      <w:r>
        <w:t>торгах в Российской Федерации, а также косвенное участие</w:t>
      </w:r>
      <w:r>
        <w:t xml:space="preserve"> </w:t>
      </w:r>
      <w:r>
        <w:t>офшорных компаний в капитале других российских</w:t>
      </w:r>
      <w:r>
        <w:t xml:space="preserve"> </w:t>
      </w:r>
      <w:r>
        <w:t xml:space="preserve">юридических лиц, реализованное через участие </w:t>
      </w:r>
      <w:r>
        <w:br/>
      </w:r>
      <w:r>
        <w:t>в капитале</w:t>
      </w:r>
      <w:r>
        <w:t xml:space="preserve"> </w:t>
      </w:r>
      <w:r>
        <w:t>указанных публичных акционерных обществ;</w:t>
      </w:r>
    </w:p>
    <w:p w14:paraId="C2000000">
      <w:pPr>
        <w:widowControl w:val="0"/>
        <w:tabs>
          <w:tab w:leader="none" w:pos="851" w:val="left"/>
          <w:tab w:leader="none" w:pos="1418" w:val="left"/>
        </w:tabs>
        <w:ind w:firstLine="567"/>
        <w:contextualSpacing w:val="1"/>
        <w:jc w:val="both"/>
      </w:pPr>
      <w:r>
        <w:t>участник отбора не находится в перечне</w:t>
      </w:r>
      <w:r>
        <w:t xml:space="preserve"> </w:t>
      </w:r>
      <w:r>
        <w:t xml:space="preserve">организаций и физических лиц, </w:t>
      </w:r>
      <w:r>
        <w:br/>
      </w:r>
      <w:r>
        <w:t>в отношении которых имеются</w:t>
      </w:r>
      <w:r>
        <w:t xml:space="preserve"> </w:t>
      </w:r>
      <w:r>
        <w:t>сведения об их причастности к экстремистской деятельности</w:t>
      </w:r>
      <w:r>
        <w:t xml:space="preserve"> </w:t>
      </w:r>
      <w:r>
        <w:t>или терроризму;</w:t>
      </w:r>
    </w:p>
    <w:p w14:paraId="C3000000">
      <w:pPr>
        <w:widowControl w:val="0"/>
        <w:tabs>
          <w:tab w:leader="none" w:pos="851" w:val="left"/>
          <w:tab w:leader="none" w:pos="1418" w:val="left"/>
        </w:tabs>
        <w:ind w:firstLine="567"/>
        <w:contextualSpacing w:val="1"/>
        <w:jc w:val="both"/>
      </w:pPr>
      <w:r>
        <w:t>участник отбора не находится в</w:t>
      </w:r>
      <w:r>
        <w:t xml:space="preserve"> </w:t>
      </w:r>
      <w:r>
        <w:t>составляемых в рамках реализации полномочий,</w:t>
      </w:r>
      <w:r>
        <w:t xml:space="preserve"> </w:t>
      </w:r>
      <w:r>
        <w:t>предусмотренных</w:t>
      </w:r>
      <w:r>
        <w:t xml:space="preserve"> в</w:t>
      </w:r>
      <w:r>
        <w:t xml:space="preserve"> глав</w:t>
      </w:r>
      <w:r>
        <w:t>е</w:t>
      </w:r>
      <w:r>
        <w:t xml:space="preserve"> VII Устава ООН, Советом</w:t>
      </w:r>
      <w:r>
        <w:t xml:space="preserve"> </w:t>
      </w:r>
      <w:r>
        <w:t xml:space="preserve">Безопасности ООН или органами, </w:t>
      </w:r>
      <w:r>
        <w:t>специально созданными</w:t>
      </w:r>
      <w:r>
        <w:t xml:space="preserve"> </w:t>
      </w:r>
      <w:r>
        <w:t xml:space="preserve">решениями Совета Безопасности ООН, перечнях организаций </w:t>
      </w:r>
      <w:r>
        <w:br/>
      </w:r>
      <w:r>
        <w:t>и</w:t>
      </w:r>
      <w:r>
        <w:t xml:space="preserve"> </w:t>
      </w:r>
      <w:r>
        <w:t>физических лиц, связанных с террористическими организациями</w:t>
      </w:r>
      <w:r>
        <w:t xml:space="preserve"> </w:t>
      </w:r>
      <w:r>
        <w:t xml:space="preserve">и террористами </w:t>
      </w:r>
      <w:r>
        <w:br/>
      </w:r>
      <w:r>
        <w:t>или с распространением оружия массового уничтожения;</w:t>
      </w:r>
    </w:p>
    <w:p w14:paraId="C4000000">
      <w:pPr>
        <w:widowControl w:val="0"/>
        <w:tabs>
          <w:tab w:leader="none" w:pos="851" w:val="left"/>
          <w:tab w:leader="none" w:pos="1418" w:val="left"/>
        </w:tabs>
        <w:ind w:firstLine="567"/>
        <w:contextualSpacing w:val="1"/>
        <w:jc w:val="both"/>
      </w:pPr>
      <w:r>
        <w:t xml:space="preserve">участник отбора </w:t>
      </w:r>
      <w:r>
        <w:t xml:space="preserve">не получал и </w:t>
      </w:r>
      <w:r>
        <w:t xml:space="preserve">не </w:t>
      </w:r>
      <w:r>
        <w:t xml:space="preserve">получает средства из бюджета Санкт-Петербурга </w:t>
      </w:r>
      <w:r>
        <w:br/>
      </w:r>
      <w:r>
        <w:t xml:space="preserve">на </w:t>
      </w:r>
      <w:r>
        <w:t>основании иных нормативных правовых актов Санкт-Петербурга на цели, установленные в пункте 1.</w:t>
      </w:r>
      <w:r>
        <w:t>4</w:t>
      </w:r>
      <w:r>
        <w:t xml:space="preserve"> настоящего Порядка;</w:t>
      </w:r>
    </w:p>
    <w:p w14:paraId="C5000000">
      <w:pPr>
        <w:widowControl w:val="1"/>
        <w:tabs>
          <w:tab w:leader="none" w:pos="851" w:val="left"/>
          <w:tab w:leader="none" w:pos="1418" w:val="left"/>
        </w:tabs>
        <w:ind w:firstLine="567"/>
        <w:jc w:val="both"/>
      </w:pPr>
      <w:r>
        <w:t xml:space="preserve">участник отбора не является иностранным агентом в соответствии </w:t>
      </w:r>
      <w:r>
        <w:br/>
      </w:r>
      <w:r>
        <w:t>с Федеральным законом «О контроле за деятельностью лиц, находящихся под иностранным влиянием»;</w:t>
      </w:r>
    </w:p>
    <w:p w14:paraId="C6000000">
      <w:pPr>
        <w:widowControl w:val="0"/>
        <w:tabs>
          <w:tab w:leader="none" w:pos="851" w:val="left"/>
          <w:tab w:leader="none" w:pos="1418" w:val="left"/>
        </w:tabs>
        <w:ind w:firstLine="567"/>
        <w:contextualSpacing w:val="1"/>
        <w:jc w:val="both"/>
      </w:pPr>
      <w:r>
        <w:t xml:space="preserve"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>
        <w:br/>
      </w:r>
      <w:r>
        <w:t>не приостановлена в порядке, предусмотренном законодательством Российской Федерации;</w:t>
      </w:r>
    </w:p>
    <w:p w14:paraId="C7000000">
      <w:pPr>
        <w:widowControl w:val="0"/>
        <w:tabs>
          <w:tab w:leader="none" w:pos="851" w:val="left"/>
          <w:tab w:leader="none" w:pos="1418" w:val="left"/>
        </w:tabs>
        <w:ind w:firstLine="567"/>
        <w:contextualSpacing w:val="1"/>
        <w:jc w:val="both"/>
      </w:pPr>
      <w:r>
        <w:t xml:space="preserve">участник отбора осуществляет на территории Санкт-Петербурга </w:t>
      </w:r>
      <w:r>
        <w:t xml:space="preserve">хозяйственную деятельность </w:t>
      </w:r>
      <w:r>
        <w:t>в соответствии</w:t>
      </w:r>
      <w:r>
        <w:t xml:space="preserve"> с видами деятельности, указанными в едином государственном реестре индивидуальных предпринимателей (для индивидуальных предпринимателей) либо</w:t>
      </w:r>
      <w:r>
        <w:t xml:space="preserve"> со своим уставом</w:t>
      </w:r>
      <w:r>
        <w:t xml:space="preserve"> </w:t>
      </w:r>
      <w:r>
        <w:t>(для юридических лиц)</w:t>
      </w:r>
      <w:r>
        <w:t>;</w:t>
      </w:r>
    </w:p>
    <w:p w14:paraId="C8000000">
      <w:pPr>
        <w:widowControl w:val="0"/>
        <w:tabs>
          <w:tab w:leader="none" w:pos="851" w:val="left"/>
          <w:tab w:leader="none" w:pos="1418" w:val="left"/>
        </w:tabs>
        <w:ind w:firstLine="567"/>
        <w:contextualSpacing w:val="1"/>
        <w:jc w:val="both"/>
      </w:pPr>
      <w: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>
        <w:br/>
      </w:r>
      <w:r>
        <w:t xml:space="preserve">в сфере закупок товаров, работ, услуг для обеспечения государственных </w:t>
      </w:r>
      <w:r>
        <w:br/>
      </w:r>
      <w:r>
        <w:t>и муниципальных нужд»</w:t>
      </w:r>
      <w:r>
        <w:t>,</w:t>
      </w:r>
      <w:r>
        <w:t xml:space="preserve"> отсутствует информация об участнике отбора;</w:t>
      </w:r>
    </w:p>
    <w:p w14:paraId="C9000000">
      <w:pPr>
        <w:widowControl w:val="0"/>
        <w:tabs>
          <w:tab w:leader="none" w:pos="851" w:val="left"/>
          <w:tab w:leader="none" w:pos="1418" w:val="left"/>
        </w:tabs>
        <w:ind w:firstLine="567"/>
        <w:contextualSpacing w:val="1"/>
        <w:jc w:val="both"/>
      </w:pPr>
      <w:r>
        <w:t>в реестре дисквалифицированных лиц отсутствуют</w:t>
      </w:r>
      <w:r>
        <w:t xml:space="preserve"> сведения</w:t>
      </w:r>
      <w:r>
        <w:t xml:space="preserve"> </w:t>
      </w:r>
      <w:r>
        <w:br/>
      </w:r>
      <w:r>
        <w:t xml:space="preserve">о дисквалифицированных руководителе, членах коллегиального исполнительного </w:t>
      </w:r>
      <w:r>
        <w:br/>
      </w:r>
      <w:r>
        <w:t xml:space="preserve">органа, лице, исполняющем функции единоличного исполнительного органа, </w:t>
      </w:r>
      <w:r>
        <w:br/>
      </w:r>
      <w:r>
        <w:t xml:space="preserve">или главном бухгалтере </w:t>
      </w:r>
      <w:r>
        <w:t xml:space="preserve">(при наличии) </w:t>
      </w:r>
      <w:r>
        <w:t>участника отбора;</w:t>
      </w:r>
    </w:p>
    <w:p w14:paraId="CA000000">
      <w:pPr>
        <w:widowControl w:val="0"/>
        <w:tabs>
          <w:tab w:leader="none" w:pos="851" w:val="left"/>
          <w:tab w:leader="none" w:pos="1418" w:val="left"/>
        </w:tabs>
        <w:ind w:firstLine="567"/>
        <w:contextualSpacing w:val="1"/>
        <w:jc w:val="both"/>
      </w:pPr>
      <w: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>
        <w:br/>
      </w:r>
      <w:r>
        <w:t xml:space="preserve">не исполнены требования о возврате средств </w:t>
      </w:r>
      <w:r>
        <w:t xml:space="preserve">в </w:t>
      </w:r>
      <w:r>
        <w:t xml:space="preserve">бюджет </w:t>
      </w:r>
      <w:r>
        <w:t xml:space="preserve">Санкт-Петербурга </w:t>
      </w:r>
      <w:r>
        <w:t>и</w:t>
      </w:r>
      <w:r>
        <w:t>(или)</w:t>
      </w:r>
      <w:r>
        <w:t xml:space="preserve"> вступило в силу постановление о назначении административного наказания</w:t>
      </w:r>
      <w:r>
        <w:t>.</w:t>
      </w:r>
    </w:p>
    <w:p w14:paraId="CB000000">
      <w:pPr>
        <w:pStyle w:val="Style_4"/>
        <w:widowControl w:val="1"/>
        <w:numPr>
          <w:ilvl w:val="2"/>
          <w:numId w:val="5"/>
        </w:numPr>
        <w:tabs>
          <w:tab w:leader="none" w:pos="1276" w:val="left"/>
        </w:tabs>
        <w:ind w:firstLine="567" w:left="0"/>
        <w:jc w:val="both"/>
      </w:pPr>
      <w:r>
        <w:t xml:space="preserve">Наличие сведений об участнике отбора в Едином реестре субъектов малого </w:t>
      </w:r>
      <w:r>
        <w:br/>
      </w:r>
      <w:r>
        <w:t>и среднего предпринимательства в качестве действующего субъекта МПСП.</w:t>
      </w:r>
    </w:p>
    <w:p w14:paraId="CC000000">
      <w:pPr>
        <w:pStyle w:val="Style_4"/>
        <w:widowControl w:val="0"/>
        <w:numPr>
          <w:ilvl w:val="2"/>
          <w:numId w:val="5"/>
        </w:numPr>
        <w:tabs>
          <w:tab w:leader="none" w:pos="851" w:val="left"/>
          <w:tab w:leader="none" w:pos="1418" w:val="left"/>
        </w:tabs>
        <w:ind w:firstLine="567" w:left="0"/>
        <w:jc w:val="both"/>
      </w:pPr>
      <w:r>
        <w:t xml:space="preserve">На дату не ранее 30 календарных дней до </w:t>
      </w:r>
      <w:r>
        <w:t xml:space="preserve">даты подачи заявки у </w:t>
      </w:r>
      <w:r>
        <w:t xml:space="preserve">участника отбора </w:t>
      </w:r>
      <w:r>
        <w:t>на едином налоговом с</w:t>
      </w:r>
      <w:r>
        <w:t xml:space="preserve">чете отсутствует задолженность </w:t>
      </w:r>
      <w:r>
        <w:t xml:space="preserve">по уплате налогов, сборов </w:t>
      </w:r>
      <w:r>
        <w:br/>
      </w:r>
      <w:r>
        <w:t xml:space="preserve">и страховых взносов в бюджеты бюджетной системы Российской Федерации или ее размер не превышает размера, определенного в пункте 3 статьи 47 Налогового кодекса </w:t>
      </w:r>
      <w:r>
        <w:br/>
      </w:r>
      <w:r>
        <w:t>Российской Федерации</w:t>
      </w:r>
      <w:r>
        <w:t xml:space="preserve"> </w:t>
      </w:r>
      <w:r>
        <w:t xml:space="preserve">(далее – </w:t>
      </w:r>
      <w:r>
        <w:t>требование об отсутствии налоговой задолженности</w:t>
      </w:r>
      <w:r>
        <w:t>).</w:t>
      </w:r>
    </w:p>
    <w:p w14:paraId="CD000000">
      <w:pPr>
        <w:pStyle w:val="Style_4"/>
        <w:widowControl w:val="0"/>
        <w:numPr>
          <w:ilvl w:val="2"/>
          <w:numId w:val="5"/>
        </w:numPr>
        <w:tabs>
          <w:tab w:leader="none" w:pos="851" w:val="left"/>
          <w:tab w:leader="none" w:pos="1418" w:val="left"/>
        </w:tabs>
        <w:ind w:firstLine="567" w:left="0"/>
        <w:jc w:val="both"/>
      </w:pPr>
      <w:r>
        <w:t xml:space="preserve">На дату не ранее 30 календарных дней до </w:t>
      </w:r>
      <w:r>
        <w:t>первого</w:t>
      </w:r>
      <w:r>
        <w:t xml:space="preserve"> числа месяца, в котором планируется проведении отбора, у частника отбора </w:t>
      </w:r>
      <w:r>
        <w:t>отсутствует просроченная задолженность по возврату</w:t>
      </w:r>
      <w:r>
        <w:t xml:space="preserve">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>
        <w:t>Санкт-Петербург</w:t>
      </w:r>
      <w:r>
        <w:t>ом</w:t>
      </w:r>
      <w:r>
        <w:t xml:space="preserve"> </w:t>
      </w:r>
      <w:r>
        <w:t>(далее – требование об отсутствии задолженности по денежным обязательствам)</w:t>
      </w:r>
      <w:r>
        <w:t>.</w:t>
      </w:r>
    </w:p>
    <w:p w14:paraId="CE000000">
      <w:pPr>
        <w:widowControl w:val="0"/>
        <w:numPr>
          <w:ilvl w:val="2"/>
          <w:numId w:val="5"/>
        </w:numPr>
        <w:tabs>
          <w:tab w:leader="none" w:pos="567" w:val="left"/>
          <w:tab w:leader="none" w:pos="851" w:val="left"/>
          <w:tab w:leader="none" w:pos="1418" w:val="left"/>
        </w:tabs>
        <w:ind w:firstLine="567" w:left="0"/>
        <w:contextualSpacing w:val="1"/>
        <w:jc w:val="both"/>
      </w:pPr>
      <w:r>
        <w:t xml:space="preserve">Размер средней заработной платы каждого работника участника </w:t>
      </w:r>
      <w:r>
        <w:br/>
      </w:r>
      <w:r>
        <w:t>отбора (</w:t>
      </w:r>
      <w:r>
        <w:t>включая обособленные подразделения, находящиеся на</w:t>
      </w:r>
      <w:r>
        <w:t xml:space="preserve"> территории </w:t>
      </w:r>
      <w:r>
        <w:br/>
      </w:r>
      <w:r>
        <w:t>Санкт-Петербурга</w:t>
      </w:r>
      <w:r>
        <w:t xml:space="preserve">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</w:t>
      </w:r>
      <w:r>
        <w:t>заработной плате в Санкт-Петербурге</w:t>
      </w:r>
      <w:r>
        <w:t xml:space="preserve"> (далее –</w:t>
      </w:r>
      <w:r>
        <w:t xml:space="preserve"> Р</w:t>
      </w:r>
      <w:r>
        <w:t>егиональное соглашение)</w:t>
      </w:r>
      <w:r>
        <w:t xml:space="preserve"> </w:t>
      </w:r>
      <w:r>
        <w:br/>
      </w:r>
      <w:r>
        <w:t xml:space="preserve">на соответствующий период 2024 года. </w:t>
      </w:r>
    </w:p>
    <w:p w14:paraId="CF000000">
      <w:pPr>
        <w:widowControl w:val="0"/>
        <w:numPr>
          <w:ilvl w:val="2"/>
          <w:numId w:val="5"/>
        </w:numPr>
        <w:tabs>
          <w:tab w:leader="none" w:pos="567" w:val="left"/>
          <w:tab w:leader="none" w:pos="851" w:val="left"/>
          <w:tab w:leader="none" w:pos="1418" w:val="left"/>
        </w:tabs>
        <w:ind w:firstLine="567" w:left="0"/>
        <w:contextualSpacing w:val="1"/>
        <w:jc w:val="both"/>
      </w:pPr>
      <w:r>
        <w:t>Р</w:t>
      </w:r>
      <w:r>
        <w:t xml:space="preserve">азмер средней заработной платы каждого работника </w:t>
      </w:r>
      <w:r>
        <w:t xml:space="preserve">участника </w:t>
      </w:r>
      <w:r>
        <w:br/>
      </w:r>
      <w:r>
        <w:t xml:space="preserve">отбора </w:t>
      </w:r>
      <w:r>
        <w:t>(</w:t>
      </w:r>
      <w:r>
        <w:t>включая обособленные подразделения, находящиеся на</w:t>
      </w:r>
      <w:r>
        <w:t xml:space="preserve"> территории </w:t>
      </w:r>
      <w:r>
        <w:br/>
      </w:r>
      <w:r>
        <w:t>Санкт-Петербурга</w:t>
      </w:r>
      <w:r>
        <w:t>), рассчитываемый в соответствии со статьей 139 Трудового кодекса Российской Федерации, должен быть в течение периода со дня принятия реш</w:t>
      </w:r>
      <w:r>
        <w:t xml:space="preserve">ения </w:t>
      </w:r>
      <w:r>
        <w:br/>
      </w:r>
      <w:r>
        <w:t xml:space="preserve">о предоставлении субсидии </w:t>
      </w:r>
      <w:r>
        <w:t xml:space="preserve">до даты, по состоянию на которую им как получателем субсидии формируется отчетность, предусмотренная пунктом 5.1 настоящего Порядка, </w:t>
      </w:r>
      <w:r>
        <w:br/>
      </w:r>
      <w:r>
        <w:t>не ниже размера минимальной заработной платы в Санкт-Петербурге, установле</w:t>
      </w:r>
      <w:r>
        <w:t>нного Р</w:t>
      </w:r>
      <w:r>
        <w:t>егиональным соглашением.</w:t>
      </w:r>
    </w:p>
    <w:p w14:paraId="D0000000">
      <w:pPr>
        <w:pStyle w:val="Style_4"/>
        <w:widowControl w:val="1"/>
        <w:numPr>
          <w:ilvl w:val="1"/>
          <w:numId w:val="6"/>
        </w:numPr>
        <w:tabs>
          <w:tab w:leader="none" w:pos="567" w:val="left"/>
          <w:tab w:leader="none" w:pos="1276" w:val="left"/>
        </w:tabs>
        <w:ind w:firstLine="567" w:left="0"/>
        <w:jc w:val="both"/>
      </w:pPr>
      <w:r>
        <w:t>Условия</w:t>
      </w:r>
      <w:r>
        <w:t>ми</w:t>
      </w:r>
      <w:r>
        <w:t xml:space="preserve"> предоставления субсидий</w:t>
      </w:r>
      <w:r>
        <w:t xml:space="preserve"> являются</w:t>
      </w:r>
      <w:r>
        <w:t>:</w:t>
      </w:r>
    </w:p>
    <w:p w14:paraId="D1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</w:pPr>
      <w:r>
        <w:t xml:space="preserve">Соответствие участника отбора категории, установленной </w:t>
      </w:r>
      <w:r>
        <w:t>в пункте 1.4</w:t>
      </w:r>
      <w:r>
        <w:t xml:space="preserve"> настоящего Порядка.</w:t>
      </w:r>
    </w:p>
    <w:p w14:paraId="D2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</w:pPr>
      <w:r>
        <w:t xml:space="preserve">Осуществление </w:t>
      </w:r>
      <w:r>
        <w:t>участник</w:t>
      </w:r>
      <w:r>
        <w:t>ом</w:t>
      </w:r>
      <w:r>
        <w:t xml:space="preserve"> отбора </w:t>
      </w:r>
      <w:r>
        <w:t>в период возникновения затрат</w:t>
      </w:r>
      <w:r>
        <w:t xml:space="preserve"> хозяйственн</w:t>
      </w:r>
      <w:r>
        <w:t>ой</w:t>
      </w:r>
      <w:r>
        <w:t xml:space="preserve"> деятельност</w:t>
      </w:r>
      <w:r>
        <w:t>и на территории Санкт-Петербурга</w:t>
      </w:r>
      <w:r>
        <w:t xml:space="preserve"> в соответствии с видами деятельности, указанными в едином государственном реестре индивидуальных предпринимателей (для индивидуальных предпринимателей) либо со своим уставом </w:t>
      </w:r>
      <w:r>
        <w:br/>
      </w:r>
      <w:r>
        <w:t>(для юридических лиц)</w:t>
      </w:r>
      <w:r>
        <w:t>, в том числе деятельности, указанной в пункте 1.4 настоящего Порядка.</w:t>
      </w:r>
    </w:p>
    <w:p w14:paraId="D3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</w:pPr>
      <w:r>
        <w:t>Соответствие поне</w:t>
      </w:r>
      <w:r>
        <w:t>сенны</w:t>
      </w:r>
      <w:r>
        <w:t>х участником отбора затрат</w:t>
      </w:r>
      <w:r>
        <w:t xml:space="preserve">, </w:t>
      </w:r>
      <w:r>
        <w:t xml:space="preserve">направлениям, </w:t>
      </w:r>
      <w:r>
        <w:t xml:space="preserve">определенным </w:t>
      </w:r>
      <w:r>
        <w:t>в пункте 1.</w:t>
      </w:r>
      <w:r>
        <w:t>6</w:t>
      </w:r>
      <w:r>
        <w:t xml:space="preserve"> настоящего Порядка.</w:t>
      </w:r>
    </w:p>
    <w:p w14:paraId="D4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</w:pPr>
      <w:r>
        <w:t xml:space="preserve">Документальное подтверждение понесенных участником отбора затрат, </w:t>
      </w:r>
      <w:r>
        <w:br/>
      </w:r>
      <w:r>
        <w:t xml:space="preserve">на возмещение которых он претендует за счет </w:t>
      </w:r>
      <w:r>
        <w:t xml:space="preserve">средств </w:t>
      </w:r>
      <w:r>
        <w:t>субсидий.</w:t>
      </w:r>
    </w:p>
    <w:p w14:paraId="D5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</w:pPr>
      <w:r>
        <w:t xml:space="preserve">Наличие лицензии на осуществление образовательной деятельности </w:t>
      </w:r>
      <w:r>
        <w:br/>
      </w:r>
      <w:r>
        <w:t xml:space="preserve">(далее – лицензия) у юридического лица, являющегося исполнителем по договорам </w:t>
      </w:r>
      <w:r>
        <w:br/>
      </w:r>
      <w:r>
        <w:t xml:space="preserve">на оказание образовательных услуг (при возмещении затрат по направлениям, определенным </w:t>
      </w:r>
      <w:r>
        <w:t xml:space="preserve">в </w:t>
      </w:r>
      <w:r>
        <w:t xml:space="preserve">пункте </w:t>
      </w:r>
      <w:r>
        <w:t>1.</w:t>
      </w:r>
      <w:r>
        <w:t>7</w:t>
      </w:r>
      <w:r>
        <w:t xml:space="preserve"> настоящего Порядка).</w:t>
      </w:r>
    </w:p>
    <w:p w14:paraId="D6000000">
      <w:pPr>
        <w:pStyle w:val="Style_4"/>
        <w:widowControl w:val="1"/>
        <w:tabs>
          <w:tab w:leader="none" w:pos="1276" w:val="left"/>
        </w:tabs>
        <w:ind w:firstLine="567" w:left="0"/>
        <w:jc w:val="both"/>
      </w:pPr>
      <w:r>
        <w:t>Информация о наличии лицензии формируется на о</w:t>
      </w:r>
      <w:r>
        <w:t xml:space="preserve">сновании сведений, размещенных </w:t>
      </w:r>
      <w:r>
        <w:t>в открытом доступе на официальном сайте Федеральной службы по надзору в сфере образования и науки</w:t>
      </w:r>
      <w:r>
        <w:t xml:space="preserve"> в сети «Интернет»</w:t>
      </w:r>
      <w:r>
        <w:t>.</w:t>
      </w:r>
    </w:p>
    <w:p w14:paraId="D7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  <w:rPr>
          <w:i w:val="1"/>
        </w:rPr>
      </w:pPr>
      <w:r>
        <w:t xml:space="preserve">Наличие договора (соглашения) между участником отбора и работником, направленным на обучение, закрепляющего обязанность работника отработать у участника отбора не менее одного года с даты окончания обучения (при возмещении затрат </w:t>
      </w:r>
      <w:r>
        <w:br/>
      </w:r>
      <w:r>
        <w:t xml:space="preserve">по направлениям, определенным в </w:t>
      </w:r>
      <w:r>
        <w:t>пункте</w:t>
      </w:r>
      <w:r>
        <w:t xml:space="preserve"> </w:t>
      </w:r>
      <w:r>
        <w:t>1.</w:t>
      </w:r>
      <w:r>
        <w:t>7</w:t>
      </w:r>
      <w:r>
        <w:t xml:space="preserve"> настоящего Порядка). </w:t>
      </w:r>
    </w:p>
    <w:p w14:paraId="D8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  <w:rPr>
          <w:i w:val="1"/>
        </w:rPr>
      </w:pPr>
      <w:r>
        <w:t>Наличие на день подачи заявки</w:t>
      </w:r>
      <w:r>
        <w:t xml:space="preserve"> </w:t>
      </w:r>
      <w:r>
        <w:t xml:space="preserve">у участника отбора трудовых отношений </w:t>
      </w:r>
      <w:r>
        <w:br/>
      </w:r>
      <w:r>
        <w:t>с обучившимся работником.</w:t>
      </w:r>
    </w:p>
    <w:p w14:paraId="D9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</w:pPr>
      <w:r>
        <w:t>Наличие письменного согласия участника отбора:</w:t>
      </w:r>
    </w:p>
    <w:p w14:paraId="DA000000">
      <w:pPr>
        <w:widowControl w:val="1"/>
        <w:tabs>
          <w:tab w:leader="none" w:pos="1276" w:val="left"/>
        </w:tabs>
        <w:ind w:firstLine="567"/>
        <w:jc w:val="both"/>
      </w:pPr>
      <w:r>
        <w:t xml:space="preserve">на осуществление Комитетом в отношении него как получателя субсидии проверок соблюдения условий и порядка предоставления субсидии, в том числе в части достижения результата предоставления субсидии, </w:t>
      </w:r>
      <w:r>
        <w:t>установленного в пункте 4.</w:t>
      </w:r>
      <w:r>
        <w:t>5</w:t>
      </w:r>
      <w:r>
        <w:t xml:space="preserve"> настоящего Порядка, </w:t>
      </w:r>
      <w:r>
        <w:br/>
      </w:r>
      <w:r>
        <w:t xml:space="preserve">а также проверок органами государственного финансового контроля в соответствии </w:t>
      </w:r>
      <w:r>
        <w:br/>
      </w:r>
      <w:r>
        <w:t>со статьями 268.1 и 269.2 Бюджетного кодекса Российской Федерации и на включение таких положений в соглашение;</w:t>
      </w:r>
    </w:p>
    <w:p w14:paraId="DB000000">
      <w:pPr>
        <w:widowControl w:val="1"/>
        <w:tabs>
          <w:tab w:leader="none" w:pos="1276" w:val="left"/>
        </w:tabs>
        <w:ind w:firstLine="567"/>
        <w:contextualSpacing w:val="1"/>
        <w:jc w:val="both"/>
      </w:pPr>
      <w:r>
        <w:t>на публикацию на сайте Комитета</w:t>
      </w:r>
      <w:r>
        <w:t xml:space="preserve"> и на Площадке отбора</w:t>
      </w:r>
      <w:r>
        <w:t xml:space="preserve"> в отношении </w:t>
      </w:r>
      <w:r>
        <w:br/>
      </w:r>
      <w:r>
        <w:t xml:space="preserve">него информации, связанной </w:t>
      </w:r>
      <w:r>
        <w:t>с отбором и</w:t>
      </w:r>
      <w:r>
        <w:t>(или) предоставлением субсидии</w:t>
      </w:r>
      <w:r>
        <w:t>.</w:t>
      </w:r>
    </w:p>
    <w:p w14:paraId="DC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</w:pPr>
      <w:r>
        <w:t>Наличие письменного обязательства участника отбора (в том числе последующее исполнение им как получателем субсидии соответствующего обязательства):</w:t>
      </w:r>
    </w:p>
    <w:p w14:paraId="DD000000">
      <w:pPr>
        <w:widowControl w:val="1"/>
        <w:tabs>
          <w:tab w:leader="none" w:pos="1276" w:val="left"/>
        </w:tabs>
        <w:ind w:firstLine="567"/>
        <w:jc w:val="both"/>
      </w:pPr>
      <w:r>
        <w:t>на дату принятия решения о перечислении субсидии или ее ч</w:t>
      </w:r>
      <w:r>
        <w:t>астей на счета получател</w:t>
      </w:r>
      <w:r>
        <w:t>я</w:t>
      </w:r>
      <w:r>
        <w:t xml:space="preserve"> субсидии</w:t>
      </w:r>
      <w:r>
        <w:t xml:space="preserve"> </w:t>
      </w:r>
      <w:r>
        <w:t xml:space="preserve">соответствовать требованию об отсутствии задолженности по денежным обязательствам, а также не иметь налоговой задолженности в размере, превышающем </w:t>
      </w:r>
      <w:r>
        <w:t>допустимую налоговую задолженность</w:t>
      </w:r>
      <w:r>
        <w:t>;</w:t>
      </w:r>
    </w:p>
    <w:p w14:paraId="DE000000">
      <w:pPr>
        <w:widowControl w:val="1"/>
        <w:ind w:firstLine="567"/>
        <w:jc w:val="both"/>
      </w:pPr>
      <w:r>
        <w:t>достичь результат</w:t>
      </w:r>
      <w:r>
        <w:t xml:space="preserve">а </w:t>
      </w:r>
      <w:r>
        <w:t xml:space="preserve">и характеристик результата (далее – характеристики), установленных в пункте </w:t>
      </w:r>
      <w:r>
        <w:t>4.</w:t>
      </w:r>
      <w:r>
        <w:t>6</w:t>
      </w:r>
      <w:r>
        <w:t xml:space="preserve"> настоящего Порядка</w:t>
      </w:r>
      <w:r>
        <w:t>;</w:t>
      </w:r>
    </w:p>
    <w:p w14:paraId="DF000000">
      <w:pPr>
        <w:widowControl w:val="1"/>
        <w:ind w:firstLine="567"/>
        <w:jc w:val="both"/>
      </w:pPr>
      <w:r>
        <w:t>возвратить средства субсидии в бюджет Санкт-Пете</w:t>
      </w:r>
      <w:r>
        <w:t xml:space="preserve">рбурга при нарушении условий </w:t>
      </w:r>
      <w:r>
        <w:br/>
      </w:r>
      <w:r>
        <w:t>и</w:t>
      </w:r>
      <w:r>
        <w:t>(и</w:t>
      </w:r>
      <w:r>
        <w:t>ли) порядка их предоставления и</w:t>
      </w:r>
      <w:r>
        <w:t xml:space="preserve">(или) недостижении результата в соответствии </w:t>
      </w:r>
      <w:r>
        <w:br/>
      </w:r>
      <w:r>
        <w:t>с пунктами 6.4</w:t>
      </w:r>
      <w:r>
        <w:t xml:space="preserve"> </w:t>
      </w:r>
      <w:r>
        <w:t>–</w:t>
      </w:r>
      <w:r>
        <w:t xml:space="preserve"> </w:t>
      </w:r>
      <w:r>
        <w:t>6.7 настоящего</w:t>
      </w:r>
      <w:r>
        <w:t xml:space="preserve"> Порядка</w:t>
      </w:r>
      <w:r>
        <w:t>;</w:t>
      </w:r>
    </w:p>
    <w:p w14:paraId="E0000000">
      <w:pPr>
        <w:widowControl w:val="1"/>
        <w:ind w:firstLine="567"/>
        <w:jc w:val="both"/>
      </w:pPr>
      <w:r>
        <w:t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пунктом 5.1 настоящего Порядка, размер средней заработной платы каждого работника организации (</w:t>
      </w:r>
      <w:r>
        <w:t>включая обособленные подразделения, находящиеся на территории Санкт-Петербурга</w:t>
      </w:r>
      <w:r>
        <w:t>)</w:t>
      </w:r>
      <w:r>
        <w:t xml:space="preserve">, рассчитываемый </w:t>
      </w:r>
      <w:r>
        <w:br/>
      </w:r>
      <w:r>
        <w:t>в соответствии со статьей 139 Трудового кодекса Российской Федерации, не ниже размера минимальной заработной платы в Са</w:t>
      </w:r>
      <w:r>
        <w:t>нкт-Петербурге, установленного Р</w:t>
      </w:r>
      <w:r>
        <w:t>егиональным соглашением на соответствующий период</w:t>
      </w:r>
      <w:r>
        <w:t>;</w:t>
      </w:r>
    </w:p>
    <w:p w14:paraId="E1000000">
      <w:pPr>
        <w:widowControl w:val="1"/>
        <w:ind w:firstLine="567"/>
        <w:jc w:val="both"/>
      </w:pPr>
      <w:r>
        <w:t>обеспечить соблюдения требований Федерального закона «О персональных данных».</w:t>
      </w:r>
    </w:p>
    <w:p w14:paraId="E2000000">
      <w:pPr>
        <w:pStyle w:val="Style_4"/>
        <w:widowControl w:val="1"/>
        <w:numPr>
          <w:ilvl w:val="2"/>
          <w:numId w:val="6"/>
        </w:numPr>
        <w:tabs>
          <w:tab w:leader="none" w:pos="1276" w:val="left"/>
        </w:tabs>
        <w:ind w:firstLine="567" w:left="0"/>
        <w:jc w:val="both"/>
      </w:pPr>
      <w:r>
        <w:t>Письменное подтверждение участником отбора полноты и достоверности сведений</w:t>
      </w:r>
      <w:r>
        <w:t xml:space="preserve"> и информации</w:t>
      </w:r>
      <w:r>
        <w:t xml:space="preserve">, представляемых в Комитет в связи с участием в отборе </w:t>
      </w:r>
      <w:r>
        <w:br/>
      </w:r>
      <w:r>
        <w:t>и</w:t>
      </w:r>
      <w:r>
        <w:t xml:space="preserve">(или) предоставлением </w:t>
      </w:r>
      <w:r>
        <w:t>ему субсидии.</w:t>
      </w:r>
    </w:p>
    <w:p w14:paraId="E3000000">
      <w:pPr>
        <w:pStyle w:val="Style_4"/>
        <w:widowControl w:val="1"/>
        <w:tabs>
          <w:tab w:leader="none" w:pos="1276" w:val="left"/>
        </w:tabs>
        <w:ind w:left="567"/>
        <w:jc w:val="both"/>
      </w:pPr>
    </w:p>
    <w:p w14:paraId="E4000000">
      <w:pPr>
        <w:widowControl w:val="0"/>
        <w:numPr>
          <w:ilvl w:val="0"/>
          <w:numId w:val="7"/>
        </w:numPr>
        <w:ind/>
        <w:contextualSpacing w:val="1"/>
        <w:jc w:val="center"/>
      </w:pPr>
      <w:r>
        <w:rPr>
          <w:b w:val="1"/>
        </w:rPr>
        <w:t>Порядок предоставления субсидий</w:t>
      </w:r>
    </w:p>
    <w:p w14:paraId="E5000000">
      <w:pPr>
        <w:widowControl w:val="0"/>
        <w:ind w:left="3261"/>
        <w:contextualSpacing w:val="1"/>
      </w:pPr>
    </w:p>
    <w:p w14:paraId="E6000000">
      <w:pPr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contextualSpacing w:val="1"/>
        <w:jc w:val="both"/>
      </w:pPr>
      <w:r>
        <w:t xml:space="preserve"> Основанием для предоставления субсиди</w:t>
      </w:r>
      <w:r>
        <w:t>й</w:t>
      </w:r>
      <w:r>
        <w:t xml:space="preserve"> явля</w:t>
      </w:r>
      <w:r>
        <w:t>ю</w:t>
      </w:r>
      <w:r>
        <w:t>тся Распоряжение</w:t>
      </w:r>
      <w:r>
        <w:t xml:space="preserve"> </w:t>
      </w:r>
      <w:r>
        <w:br/>
      </w:r>
      <w:r>
        <w:t>и соглашение</w:t>
      </w:r>
      <w:r>
        <w:t xml:space="preserve">, заключенное между </w:t>
      </w:r>
      <w:r>
        <w:t xml:space="preserve">Комитетом и </w:t>
      </w:r>
      <w:r>
        <w:t>получателем</w:t>
      </w:r>
      <w:r>
        <w:t xml:space="preserve"> </w:t>
      </w:r>
      <w:r>
        <w:t>субсидии</w:t>
      </w:r>
      <w:r>
        <w:t xml:space="preserve"> в соответствии </w:t>
      </w:r>
      <w:r>
        <w:br/>
      </w:r>
      <w:r>
        <w:t>с типовой формой,</w:t>
      </w:r>
      <w:r>
        <w:t xml:space="preserve"> </w:t>
      </w:r>
      <w:r>
        <w:t xml:space="preserve">утвержденной Комитетом финансов Санкт-Петербурга </w:t>
      </w:r>
      <w:r>
        <w:br/>
      </w:r>
      <w:r>
        <w:t>(далее – Типовая форма)</w:t>
      </w:r>
      <w:r>
        <w:t>.</w:t>
      </w:r>
    </w:p>
    <w:p w14:paraId="E7000000">
      <w:pPr>
        <w:widowControl w:val="1"/>
        <w:ind w:firstLine="567"/>
        <w:jc w:val="both"/>
      </w:pPr>
      <w:r>
        <w:t>Соглашение</w:t>
      </w:r>
      <w:r>
        <w:t xml:space="preserve"> </w:t>
      </w:r>
      <w:r>
        <w:t>(</w:t>
      </w:r>
      <w:r>
        <w:t xml:space="preserve">в том числе все дополнительные соглашения к нему, оформленные </w:t>
      </w:r>
      <w:r>
        <w:br/>
      </w:r>
      <w:r>
        <w:t>в соответствии с Типовой формой</w:t>
      </w:r>
      <w:r>
        <w:t>)</w:t>
      </w:r>
      <w:r>
        <w:t xml:space="preserve"> формируется в форме электронного документа </w:t>
      </w:r>
      <w:r>
        <w:br/>
      </w:r>
      <w:r>
        <w:t xml:space="preserve">и подписывается </w:t>
      </w:r>
      <w:r>
        <w:t xml:space="preserve">в </w:t>
      </w:r>
      <w:r>
        <w:t>АИС</w:t>
      </w:r>
      <w:r>
        <w:t xml:space="preserve"> БП-ЭК</w:t>
      </w:r>
      <w:r>
        <w:t>.</w:t>
      </w:r>
    </w:p>
    <w:p w14:paraId="E8000000">
      <w:pPr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contextualSpacing w:val="1"/>
        <w:jc w:val="both"/>
      </w:pPr>
      <w:r>
        <w:t xml:space="preserve">Комитет не позднее </w:t>
      </w:r>
      <w:r>
        <w:t>трех</w:t>
      </w:r>
      <w:r>
        <w:t xml:space="preserve"> рабочих </w:t>
      </w:r>
      <w:r>
        <w:t>дней</w:t>
      </w:r>
      <w:r>
        <w:t xml:space="preserve"> с даты издания Распоряжения направляет </w:t>
      </w:r>
      <w:r>
        <w:t xml:space="preserve">победителю отбора </w:t>
      </w:r>
      <w:r>
        <w:t>посредством АИС</w:t>
      </w:r>
      <w:r>
        <w:t xml:space="preserve"> БП-ЭК</w:t>
      </w:r>
      <w:r>
        <w:t xml:space="preserve"> проект соглашения, который подлежит подписанию в АИС</w:t>
      </w:r>
      <w:r>
        <w:t xml:space="preserve"> БП-ЭК</w:t>
      </w:r>
      <w:r>
        <w:t xml:space="preserve"> со стороны </w:t>
      </w:r>
      <w:r>
        <w:t xml:space="preserve">победителя отбора </w:t>
      </w:r>
      <w:r>
        <w:t xml:space="preserve">в </w:t>
      </w:r>
      <w:r>
        <w:t xml:space="preserve">течение </w:t>
      </w:r>
      <w:r>
        <w:t>трех</w:t>
      </w:r>
      <w:r>
        <w:t xml:space="preserve"> рабочих дней</w:t>
      </w:r>
      <w:r>
        <w:t xml:space="preserve"> </w:t>
      </w:r>
      <w:r>
        <w:br/>
      </w:r>
      <w:r>
        <w:t xml:space="preserve">с даты его получения. </w:t>
      </w:r>
    </w:p>
    <w:p w14:paraId="E9000000">
      <w:pPr>
        <w:widowControl w:val="1"/>
        <w:ind w:firstLine="567"/>
        <w:jc w:val="both"/>
      </w:pPr>
      <w:r>
        <w:t xml:space="preserve">В случае неподписания проекта соглашения со стороны </w:t>
      </w:r>
      <w:r>
        <w:t>победителя отбора</w:t>
      </w:r>
      <w:r>
        <w:t xml:space="preserve"> в срок, установленный в абзаце первом настоящего пункта, он </w:t>
      </w:r>
      <w:r>
        <w:t>подлежит признанию</w:t>
      </w:r>
      <w:r>
        <w:t xml:space="preserve"> </w:t>
      </w:r>
      <w:r>
        <w:br/>
      </w:r>
      <w:r>
        <w:t xml:space="preserve">уклонившимся </w:t>
      </w:r>
      <w:r>
        <w:t>от заключения соглашения, а Распоряжение подлежит признанию утратившим силу</w:t>
      </w:r>
      <w:r>
        <w:t xml:space="preserve"> полностью либо в части </w:t>
      </w:r>
      <w:r>
        <w:t>победителя отбора</w:t>
      </w:r>
      <w:r>
        <w:t xml:space="preserve">, признанного уклонившимся </w:t>
      </w:r>
      <w:r>
        <w:t xml:space="preserve">от заключения соглашения (если Распоряжение издано в отношении нескольких </w:t>
      </w:r>
      <w:r>
        <w:t>победителей отбора</w:t>
      </w:r>
      <w:r>
        <w:t>)</w:t>
      </w:r>
      <w:r>
        <w:t>.</w:t>
      </w:r>
    </w:p>
    <w:p w14:paraId="EA000000">
      <w:pPr>
        <w:widowControl w:val="1"/>
        <w:ind w:firstLine="567"/>
        <w:jc w:val="both"/>
      </w:pPr>
      <w:r>
        <w:t xml:space="preserve">Подписанный со стороны </w:t>
      </w:r>
      <w:r>
        <w:t>победителя отбора</w:t>
      </w:r>
      <w:r>
        <w:t xml:space="preserve"> проект соглашения подлежит подписанию в АИС </w:t>
      </w:r>
      <w:r>
        <w:t xml:space="preserve">БП-ЭК </w:t>
      </w:r>
      <w:r>
        <w:t>со стороны Комитета, после чего со</w:t>
      </w:r>
      <w:r>
        <w:t>глашение считается заключенным, а победитель отбора – получателем субсидии.</w:t>
      </w:r>
    </w:p>
    <w:p w14:paraId="EB000000">
      <w:pPr>
        <w:widowControl w:val="1"/>
        <w:ind w:firstLine="567"/>
        <w:jc w:val="both"/>
      </w:pPr>
      <w:r>
        <w:t xml:space="preserve">Срок заключения соглашения не должен </w:t>
      </w:r>
      <w:r>
        <w:t xml:space="preserve">превышать </w:t>
      </w:r>
      <w:r>
        <w:t>десяти</w:t>
      </w:r>
      <w:r>
        <w:t xml:space="preserve"> рабочих</w:t>
      </w:r>
      <w:r>
        <w:t xml:space="preserve"> дней с даты издания Распоряжения.</w:t>
      </w:r>
    </w:p>
    <w:p w14:paraId="EC000000">
      <w:pPr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contextualSpacing w:val="1"/>
        <w:jc w:val="both"/>
      </w:pPr>
      <w:r>
        <w:t>В соглашение подлежат включению следующие условия:</w:t>
      </w:r>
    </w:p>
    <w:p w14:paraId="ED000000">
      <w:pPr>
        <w:widowControl w:val="1"/>
        <w:ind w:firstLine="567"/>
        <w:contextualSpacing w:val="1"/>
        <w:jc w:val="both"/>
      </w:pPr>
      <w:r>
        <w:t xml:space="preserve">о </w:t>
      </w:r>
      <w:r>
        <w:t>размер</w:t>
      </w:r>
      <w:r>
        <w:t>е</w:t>
      </w:r>
      <w:r>
        <w:t xml:space="preserve"> субсидии, а также поряд</w:t>
      </w:r>
      <w:r>
        <w:t>ке</w:t>
      </w:r>
      <w:r>
        <w:t xml:space="preserve"> и условия</w:t>
      </w:r>
      <w:r>
        <w:t>х</w:t>
      </w:r>
      <w:r>
        <w:t xml:space="preserve"> ее предоставления (перечисления);</w:t>
      </w:r>
    </w:p>
    <w:p w14:paraId="EE000000">
      <w:pPr>
        <w:widowControl w:val="1"/>
        <w:ind w:firstLine="567"/>
        <w:contextualSpacing w:val="1"/>
        <w:jc w:val="both"/>
      </w:pPr>
      <w:r>
        <w:t xml:space="preserve">о </w:t>
      </w:r>
      <w:r>
        <w:t>согласи</w:t>
      </w:r>
      <w:r>
        <w:t>и</w:t>
      </w:r>
      <w:r>
        <w:t xml:space="preserve"> получателя субсидии на осуществление в отношении него проверок </w:t>
      </w:r>
      <w:r>
        <w:t xml:space="preserve">соблюдения </w:t>
      </w:r>
      <w:r>
        <w:t>условий и порядка предоставления субсидии</w:t>
      </w:r>
      <w:r>
        <w:t xml:space="preserve"> со стороны Комитета</w:t>
      </w:r>
      <w:r>
        <w:t xml:space="preserve"> </w:t>
      </w:r>
      <w:r>
        <w:br/>
      </w:r>
      <w:r>
        <w:t xml:space="preserve">и </w:t>
      </w:r>
      <w:r>
        <w:t xml:space="preserve">проверок </w:t>
      </w:r>
      <w:r>
        <w:t xml:space="preserve">со стороны органов государственного финансового контроля в соответствии </w:t>
      </w:r>
      <w:r>
        <w:br/>
      </w:r>
      <w:r>
        <w:t>со статьями 268.1 и 269.2 Бюджетного кодекса Российской Федерации;</w:t>
      </w:r>
    </w:p>
    <w:p w14:paraId="EF000000">
      <w:pPr>
        <w:widowControl w:val="1"/>
        <w:tabs>
          <w:tab w:leader="none" w:pos="1134" w:val="left"/>
        </w:tabs>
        <w:ind w:firstLine="567"/>
        <w:contextualSpacing w:val="1"/>
        <w:jc w:val="both"/>
      </w:pPr>
      <w:r>
        <w:t xml:space="preserve"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направляет </w:t>
      </w:r>
      <w:r>
        <w:t>получателю субсидии посредством АИС</w:t>
      </w:r>
      <w:r>
        <w:t xml:space="preserve"> БП-ЭК</w:t>
      </w:r>
      <w:r>
        <w:t xml:space="preserve"> проект дополнительного соглашения </w:t>
      </w:r>
      <w:r>
        <w:br/>
      </w:r>
      <w:r>
        <w:t xml:space="preserve">о согласовании новых условий соглашения </w:t>
      </w:r>
      <w:r>
        <w:t xml:space="preserve">или о расторжении соглашения </w:t>
      </w:r>
      <w:r>
        <w:br/>
      </w:r>
      <w:r>
        <w:t xml:space="preserve">при недостижении согласия </w:t>
      </w:r>
      <w:r>
        <w:t>по новым условиям</w:t>
      </w:r>
      <w:r>
        <w:t xml:space="preserve"> </w:t>
      </w:r>
      <w:r>
        <w:t xml:space="preserve">(далее – дополнительное соглашение) </w:t>
      </w:r>
      <w:r>
        <w:br/>
      </w:r>
      <w:r>
        <w:t xml:space="preserve">по </w:t>
      </w:r>
      <w:r>
        <w:t>ф</w:t>
      </w:r>
      <w:r>
        <w:t xml:space="preserve">ормам, </w:t>
      </w:r>
      <w:r>
        <w:t xml:space="preserve">определенным в </w:t>
      </w:r>
      <w:r>
        <w:t>Типовой форм</w:t>
      </w:r>
      <w:r>
        <w:t>е</w:t>
      </w:r>
      <w:r>
        <w:t xml:space="preserve">. </w:t>
      </w:r>
      <w:r>
        <w:t>Порядок и сроки подписания дополнительных соглашений к соглашению соответст</w:t>
      </w:r>
      <w:r>
        <w:t xml:space="preserve">вуют порядку, установленному в </w:t>
      </w:r>
      <w:r>
        <w:t>пункте</w:t>
      </w:r>
      <w:r>
        <w:t xml:space="preserve"> 4.2</w:t>
      </w:r>
      <w:r>
        <w:t xml:space="preserve">. </w:t>
      </w:r>
      <w:r>
        <w:t>В случае неподписания со стороны получателя субсидии в срок</w:t>
      </w:r>
      <w:r>
        <w:t>, указанный в абзаце первом пункта 4.2 настоящего Порядка,</w:t>
      </w:r>
      <w:r>
        <w:t xml:space="preserve"> направленного ему проекта дополнительного соглашения, соглашение подлежит расторжению </w:t>
      </w:r>
      <w:r>
        <w:t>в одностороннем порядке;</w:t>
      </w:r>
    </w:p>
    <w:p w14:paraId="F0000000">
      <w:pPr>
        <w:widowControl w:val="1"/>
        <w:tabs>
          <w:tab w:leader="none" w:pos="1134" w:val="left"/>
        </w:tabs>
        <w:ind w:firstLine="567"/>
        <w:jc w:val="both"/>
        <w:rPr>
          <w:strike w:val="1"/>
          <w:color w:themeColor="text1" w:val="000000"/>
        </w:rPr>
      </w:pPr>
      <w:r>
        <w:rPr>
          <w:color w:themeColor="text1" w:val="000000"/>
        </w:rPr>
        <w:t xml:space="preserve">о том, что в случае, если получателем субсидии в сроки, определенные соглашением, не достигнуты значения результата и характеристик, получатель субсидии обязан осуществить возврат средств субсидии в соответствии </w:t>
      </w:r>
      <w:r>
        <w:rPr>
          <w:color w:themeColor="text1" w:val="000000"/>
        </w:rPr>
        <w:t>с пунктами 6.5 – 6.7</w:t>
      </w:r>
      <w:r>
        <w:rPr>
          <w:color w:themeColor="text1" w:val="000000"/>
        </w:rPr>
        <w:t xml:space="preserve"> настоящего Порядка;</w:t>
      </w:r>
    </w:p>
    <w:p w14:paraId="F1000000">
      <w:pPr>
        <w:widowControl w:val="1"/>
        <w:tabs>
          <w:tab w:leader="none" w:pos="1134" w:val="left"/>
        </w:tabs>
        <w:ind w:firstLine="567"/>
        <w:jc w:val="both"/>
      </w:pPr>
      <w:r>
        <w:t xml:space="preserve">о том, что </w:t>
      </w:r>
      <w:r>
        <w:t xml:space="preserve"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>
        <w:br/>
      </w:r>
      <w:r>
        <w:t>в соглашении юридического лица, являющегося правопреемником</w:t>
      </w:r>
      <w:r>
        <w:t>;</w:t>
      </w:r>
    </w:p>
    <w:p w14:paraId="F2000000">
      <w:pPr>
        <w:widowControl w:val="1"/>
        <w:tabs>
          <w:tab w:leader="none" w:pos="1134" w:val="left"/>
        </w:tabs>
        <w:ind w:firstLine="567"/>
        <w:jc w:val="both"/>
      </w:pPr>
      <w:r>
        <w:t xml:space="preserve">о том, что при реорганизации получателя субсидии в форме разделения, выделения, </w:t>
      </w:r>
      <w:r>
        <w:br/>
      </w:r>
      <w:r>
        <w:t xml:space="preserve">а также при ликвидации получателя субсидии соглашение расторгается с формированием </w:t>
      </w:r>
      <w:r>
        <w:t xml:space="preserve">Комитетом </w:t>
      </w:r>
      <w:r>
        <w:t xml:space="preserve">уведомления о расторжении соглашения в одностороннем порядке и акта </w:t>
      </w:r>
      <w:r>
        <w:br/>
      </w:r>
      <w:r>
        <w:t xml:space="preserve">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</w:t>
      </w:r>
      <w:r>
        <w:t xml:space="preserve">бюджет </w:t>
      </w:r>
      <w:r>
        <w:br/>
      </w:r>
      <w:r>
        <w:t>Санкт-Петербург</w:t>
      </w:r>
      <w:r>
        <w:t>а</w:t>
      </w:r>
      <w:r>
        <w:t>.</w:t>
      </w:r>
    </w:p>
    <w:p w14:paraId="F3000000">
      <w:pPr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contextualSpacing w:val="1"/>
        <w:jc w:val="both"/>
        <w:rPr>
          <w:i w:val="1"/>
          <w:color w:val="0070C0"/>
        </w:rPr>
      </w:pPr>
      <w:r>
        <w:t>Субсиди</w:t>
      </w:r>
      <w:r>
        <w:t>и</w:t>
      </w:r>
      <w:r>
        <w:t xml:space="preserve"> перечисля</w:t>
      </w:r>
      <w:r>
        <w:t>ю</w:t>
      </w:r>
      <w:r>
        <w:t>тся Комитетом получател</w:t>
      </w:r>
      <w:r>
        <w:t>ям</w:t>
      </w:r>
      <w:r>
        <w:t xml:space="preserve"> субсиди</w:t>
      </w:r>
      <w:r>
        <w:t>й</w:t>
      </w:r>
      <w:r>
        <w:t xml:space="preserve"> единовременно </w:t>
      </w:r>
      <w:r>
        <w:br/>
      </w:r>
      <w:r>
        <w:t>не</w:t>
      </w:r>
      <w:r>
        <w:t xml:space="preserve"> </w:t>
      </w:r>
      <w:r>
        <w:t xml:space="preserve">позднее </w:t>
      </w:r>
      <w:r>
        <w:t xml:space="preserve">10 </w:t>
      </w:r>
      <w:r>
        <w:t xml:space="preserve">рабочих дней после </w:t>
      </w:r>
      <w:r>
        <w:t>заключения соглашения</w:t>
      </w:r>
      <w:r>
        <w:t xml:space="preserve">, но не </w:t>
      </w:r>
      <w:r>
        <w:t>позднее 25.12.20</w:t>
      </w:r>
      <w:r>
        <w:t>2</w:t>
      </w:r>
      <w:r>
        <w:t>5</w:t>
      </w:r>
      <w:r>
        <w:t>,</w:t>
      </w:r>
      <w:r>
        <w:t xml:space="preserve"> </w:t>
      </w:r>
      <w:r>
        <w:br/>
      </w:r>
      <w:r>
        <w:t xml:space="preserve">на расчетный </w:t>
      </w:r>
      <w:r>
        <w:t>счет, открытый получател</w:t>
      </w:r>
      <w:r>
        <w:t>ями</w:t>
      </w:r>
      <w:r>
        <w:t xml:space="preserve"> субсиди</w:t>
      </w:r>
      <w:r>
        <w:t>й</w:t>
      </w:r>
      <w:r>
        <w:t xml:space="preserve"> в учреждениях Центрального банка Российской Федерации или кредитных организациях, указанный в соглашении</w:t>
      </w:r>
      <w:r>
        <w:t>.</w:t>
      </w:r>
      <w:r>
        <w:t xml:space="preserve"> </w:t>
      </w:r>
    </w:p>
    <w:p w14:paraId="F4000000">
      <w:pPr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contextualSpacing w:val="1"/>
        <w:jc w:val="both"/>
        <w:rPr>
          <w:i w:val="1"/>
          <w:color w:val="0070C0"/>
        </w:rPr>
      </w:pPr>
      <w:r>
        <w:t xml:space="preserve">Результатом является </w:t>
      </w:r>
      <w:r>
        <w:t xml:space="preserve">проведение образовательных мероприятий, направленных </w:t>
      </w:r>
      <w:r>
        <w:br/>
      </w:r>
      <w:r>
        <w:t xml:space="preserve">на совершенствование эффективности использования трудовых ресурсов получателя субсидии путем повышения квалификации его работников в целях развития и реализации </w:t>
      </w:r>
      <w:r>
        <w:br/>
      </w:r>
      <w:r>
        <w:t>их трудового потенциала, в соответствии с характеристиками, достижение значений которых оценивается по итогам 2025 года</w:t>
      </w:r>
      <w:r>
        <w:rPr>
          <w:color w:themeColor="text1" w:val="000000"/>
        </w:rPr>
        <w:t>.</w:t>
      </w:r>
      <w:r>
        <w:rPr>
          <w:color w:themeColor="text1" w:val="000000"/>
        </w:rPr>
        <w:t xml:space="preserve"> </w:t>
      </w:r>
    </w:p>
    <w:p w14:paraId="F5000000">
      <w:pPr>
        <w:widowControl w:val="1"/>
        <w:tabs>
          <w:tab w:leader="none" w:pos="1134" w:val="left"/>
        </w:tabs>
        <w:ind w:firstLine="709"/>
        <w:contextualSpacing w:val="1"/>
        <w:jc w:val="both"/>
        <w:rPr>
          <w:color w:themeColor="text1" w:val="000000"/>
        </w:rPr>
      </w:pPr>
      <w:r>
        <w:rPr>
          <w:color w:themeColor="text1" w:val="000000"/>
        </w:rPr>
        <w:t xml:space="preserve">Типом результата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</w:t>
      </w:r>
      <w:r>
        <w:t>–</w:t>
      </w:r>
      <w:r>
        <w:rPr>
          <w:color w:themeColor="text1" w:val="000000"/>
        </w:rPr>
        <w:t xml:space="preserve"> производителям товаров, работ, услуг, утвержденным приказом Министерства финансов Российской Федерации </w:t>
      </w:r>
      <w:r>
        <w:rPr>
          <w:color w:themeColor="text1" w:val="000000"/>
        </w:rPr>
        <w:br/>
      </w:r>
      <w:r>
        <w:rPr>
          <w:color w:themeColor="text1" w:val="000000"/>
        </w:rPr>
        <w:t>от 27.04.2024 № 53н, является проведение образовательных мероприятий.</w:t>
      </w:r>
    </w:p>
    <w:p w14:paraId="F6000000">
      <w:pPr>
        <w:widowControl w:val="1"/>
        <w:numPr>
          <w:ilvl w:val="1"/>
          <w:numId w:val="7"/>
        </w:numPr>
        <w:tabs>
          <w:tab w:leader="none" w:pos="1134" w:val="left"/>
        </w:tabs>
        <w:ind w:firstLine="709" w:left="0"/>
        <w:contextualSpacing w:val="1"/>
        <w:jc w:val="both"/>
        <w:rPr>
          <w:color w:val="000000"/>
        </w:rPr>
      </w:pPr>
      <w:r>
        <w:rPr>
          <w:color w:val="000000"/>
        </w:rPr>
        <w:t xml:space="preserve">Характеристиками </w:t>
      </w:r>
      <w:r>
        <w:rPr>
          <w:color w:val="000000"/>
        </w:rPr>
        <w:t xml:space="preserve">результата </w:t>
      </w:r>
      <w:r>
        <w:rPr>
          <w:color w:val="000000"/>
        </w:rPr>
        <w:t>являются:</w:t>
      </w:r>
    </w:p>
    <w:p w14:paraId="F7000000">
      <w:pPr>
        <w:widowControl w:val="1"/>
        <w:numPr>
          <w:ilvl w:val="2"/>
          <w:numId w:val="7"/>
        </w:numPr>
        <w:tabs>
          <w:tab w:leader="none" w:pos="1134" w:val="left"/>
        </w:tabs>
        <w:ind w:firstLine="709" w:left="0"/>
        <w:contextualSpacing w:val="1"/>
        <w:jc w:val="both"/>
        <w:rPr>
          <w:color w:val="000000"/>
        </w:rPr>
      </w:pPr>
      <w:r>
        <w:t xml:space="preserve">Сохранение в 2025 году среднесписочной численности работников субъекта МПСП – получателя субсидий на уровне не менее </w:t>
      </w:r>
      <w:r>
        <w:t>восьмидесяти</w:t>
      </w:r>
      <w:r>
        <w:t xml:space="preserve"> процентов </w:t>
      </w:r>
      <w:r>
        <w:br/>
      </w:r>
      <w:r>
        <w:t xml:space="preserve">от среднесписочной численности работников данной организации </w:t>
      </w:r>
      <w:r>
        <w:t>в 2024 году</w:t>
      </w:r>
      <w:r>
        <w:t>.</w:t>
      </w:r>
      <w:r>
        <w:rPr>
          <w:i w:val="1"/>
          <w:color w:val="0070C0"/>
        </w:rPr>
        <w:t xml:space="preserve"> </w:t>
      </w:r>
    </w:p>
    <w:p w14:paraId="F8000000">
      <w:pPr>
        <w:widowControl w:val="1"/>
        <w:numPr>
          <w:ilvl w:val="2"/>
          <w:numId w:val="7"/>
        </w:numPr>
        <w:tabs>
          <w:tab w:leader="none" w:pos="1134" w:val="left"/>
        </w:tabs>
        <w:ind w:firstLine="709" w:left="0"/>
        <w:contextualSpacing w:val="1"/>
        <w:jc w:val="both"/>
        <w:rPr>
          <w:color w:val="000000"/>
        </w:rPr>
      </w:pPr>
      <w:r>
        <w:t>Достижение д</w:t>
      </w:r>
      <w:r>
        <w:t>оли работников получателя субсидий, заверш</w:t>
      </w:r>
      <w:r>
        <w:t xml:space="preserve">ивших </w:t>
      </w:r>
      <w:r>
        <w:t xml:space="preserve">в период </w:t>
      </w:r>
      <w:r>
        <w:br/>
      </w:r>
      <w:r>
        <w:t xml:space="preserve">с 01.07.2024 </w:t>
      </w:r>
      <w:r>
        <w:t>по 30.06.2025</w:t>
      </w:r>
      <w:r>
        <w:t xml:space="preserve"> году обучение </w:t>
      </w:r>
      <w:r>
        <w:t>по программам подготовки и(или)</w:t>
      </w:r>
      <w:r>
        <w:t xml:space="preserve"> переподготовки и</w:t>
      </w:r>
      <w:r>
        <w:t>(или)</w:t>
      </w:r>
      <w:r>
        <w:t xml:space="preserve"> повышения квалификации кадров, не менее пяти процентов от среднесписочной численности работников в указанный период или не менее одного работника.</w:t>
      </w:r>
    </w:p>
    <w:p w14:paraId="F9000000">
      <w:pPr>
        <w:pStyle w:val="Style_4"/>
        <w:widowControl w:val="1"/>
        <w:tabs>
          <w:tab w:leader="none" w:pos="1134" w:val="left"/>
        </w:tabs>
        <w:ind w:firstLine="567" w:left="0"/>
        <w:jc w:val="both"/>
      </w:pPr>
      <w:r>
        <w:t xml:space="preserve">Значения характеристика для каждого получателя субсидии устанавливаются </w:t>
      </w:r>
      <w:r>
        <w:br/>
      </w:r>
      <w:r>
        <w:t>в соглашении.</w:t>
      </w:r>
    </w:p>
    <w:p w14:paraId="FA000000">
      <w:pPr>
        <w:widowControl w:val="1"/>
        <w:numPr>
          <w:ilvl w:val="1"/>
          <w:numId w:val="7"/>
        </w:numPr>
        <w:tabs>
          <w:tab w:leader="none" w:pos="1134" w:val="left"/>
        </w:tabs>
        <w:ind w:hanging="644"/>
        <w:contextualSpacing w:val="1"/>
        <w:jc w:val="both"/>
      </w:pPr>
      <w:r>
        <w:t xml:space="preserve">Размер </w:t>
      </w:r>
      <w:r>
        <w:t xml:space="preserve">предоставляемой </w:t>
      </w:r>
      <w:r>
        <w:t>субсиди</w:t>
      </w:r>
      <w:r>
        <w:t>и</w:t>
      </w:r>
      <w:r>
        <w:t xml:space="preserve"> </w:t>
      </w:r>
      <w:r>
        <w:t xml:space="preserve">рассчитывается </w:t>
      </w:r>
      <w:r>
        <w:t>по следующей формуле:</w:t>
      </w:r>
    </w:p>
    <w:p w14:paraId="FB000000">
      <w:pPr>
        <w:widowControl w:val="1"/>
        <w:ind w:firstLine="567"/>
        <w:jc w:val="both"/>
        <w:outlineLvl w:val="0"/>
      </w:pPr>
    </w:p>
    <w:p w14:paraId="FC000000">
      <w:pPr>
        <w:widowControl w:val="1"/>
        <w:ind w:firstLine="567"/>
        <w:jc w:val="center"/>
      </w:pPr>
      <w:r>
        <w:t xml:space="preserve">Сс = (A1 + A2 + ... An) x </w:t>
      </w:r>
      <w:r>
        <w:t>8</w:t>
      </w:r>
      <w:r>
        <w:t>0% (при этом Сс &lt;= Сз),</w:t>
      </w:r>
    </w:p>
    <w:p w14:paraId="FD000000">
      <w:pPr>
        <w:widowControl w:val="1"/>
        <w:ind w:firstLine="567"/>
        <w:jc w:val="both"/>
      </w:pPr>
    </w:p>
    <w:p w14:paraId="FE000000">
      <w:pPr>
        <w:widowControl w:val="1"/>
        <w:ind w:firstLine="567"/>
        <w:jc w:val="both"/>
      </w:pPr>
      <w:r>
        <w:t>где:</w:t>
      </w:r>
    </w:p>
    <w:p w14:paraId="FF000000">
      <w:pPr>
        <w:widowControl w:val="1"/>
        <w:ind w:firstLine="567"/>
        <w:jc w:val="both"/>
      </w:pPr>
      <w:r>
        <w:rPr>
          <w:color w:val="000000"/>
        </w:rPr>
        <w:t xml:space="preserve">Сс </w:t>
      </w:r>
      <w:r>
        <w:rPr>
          <w:color w:val="000000"/>
        </w:rPr>
        <w:t>–</w:t>
      </w:r>
      <w:r>
        <w:rPr>
          <w:color w:val="000000"/>
        </w:rPr>
        <w:t xml:space="preserve"> размер</w:t>
      </w:r>
      <w:r>
        <w:t xml:space="preserve"> предоставляемой субсидии, но не более 1 </w:t>
      </w:r>
      <w:r>
        <w:t>млн</w:t>
      </w:r>
      <w:r>
        <w:t xml:space="preserve"> </w:t>
      </w:r>
      <w:r>
        <w:t>руб.;</w:t>
      </w:r>
    </w:p>
    <w:p w14:paraId="00010000">
      <w:pPr>
        <w:widowControl w:val="1"/>
        <w:ind w:firstLine="567"/>
        <w:jc w:val="both"/>
      </w:pPr>
      <w:r>
        <w:rPr>
          <w:color w:val="000000"/>
        </w:rPr>
        <w:t xml:space="preserve">Сз </w:t>
      </w:r>
      <w:r>
        <w:rPr>
          <w:color w:val="000000"/>
        </w:rPr>
        <w:t>–</w:t>
      </w:r>
      <w:r>
        <w:rPr>
          <w:color w:val="000000"/>
        </w:rPr>
        <w:t xml:space="preserve"> размер</w:t>
      </w:r>
      <w:r>
        <w:t xml:space="preserve"> субсидии согласно </w:t>
      </w:r>
      <w:r>
        <w:t>заявке</w:t>
      </w:r>
      <w:r>
        <w:t>;</w:t>
      </w:r>
    </w:p>
    <w:p w14:paraId="01010000">
      <w:pPr>
        <w:widowControl w:val="1"/>
        <w:ind w:firstLine="567"/>
        <w:jc w:val="both"/>
        <w:rPr>
          <w:i w:val="1"/>
          <w:color w:themeColor="text1" w:val="000000"/>
        </w:rPr>
      </w:pPr>
      <w:r>
        <w:t xml:space="preserve">A1 + A2 +... </w:t>
      </w:r>
      <w:r>
        <w:rPr>
          <w:color w:val="000000"/>
        </w:rPr>
        <w:t xml:space="preserve">An </w:t>
      </w:r>
      <w:r>
        <w:rPr>
          <w:color w:val="000000"/>
        </w:rPr>
        <w:t>–</w:t>
      </w:r>
      <w:r>
        <w:rPr>
          <w:color w:val="000000"/>
        </w:rPr>
        <w:t xml:space="preserve"> сумма документально</w:t>
      </w:r>
      <w:r>
        <w:t xml:space="preserve"> подтвержденных </w:t>
      </w:r>
      <w:r>
        <w:t xml:space="preserve">фактически понесенных </w:t>
      </w:r>
      <w:r>
        <w:br/>
      </w:r>
      <w:r>
        <w:t xml:space="preserve">затрат </w:t>
      </w:r>
      <w:r>
        <w:t xml:space="preserve">за вычетом суммы налога на добавленную стоимость в соответствии </w:t>
      </w:r>
      <w:r>
        <w:br/>
      </w:r>
      <w:r>
        <w:t xml:space="preserve">с направлениями затрат, </w:t>
      </w:r>
      <w:r>
        <w:t>определенными в пункте 1.</w:t>
      </w:r>
      <w:r>
        <w:t xml:space="preserve">6 </w:t>
      </w:r>
      <w:r>
        <w:rPr>
          <w:color w:val="000000"/>
        </w:rPr>
        <w:t>настоящего Порядка.</w:t>
      </w:r>
    </w:p>
    <w:p w14:paraId="02010000">
      <w:pPr>
        <w:widowControl w:val="1"/>
        <w:ind w:firstLine="567"/>
        <w:jc w:val="both"/>
      </w:pPr>
      <w:r>
        <w:rPr>
          <w:color w:val="000000"/>
        </w:rPr>
        <w:t>В случае несоответствия размеров затрат, указанных в расчете размера</w:t>
      </w:r>
      <w:r>
        <w:t xml:space="preserve"> субсидии, размерам документально </w:t>
      </w:r>
      <w:r>
        <w:rPr>
          <w:color w:val="000000"/>
        </w:rPr>
        <w:t>подтвержденных затрат,</w:t>
      </w:r>
      <w:r>
        <w:t xml:space="preserve"> размер предоставляемой субсидии определяется на основании документально подтвержденных </w:t>
      </w:r>
      <w:r>
        <w:rPr>
          <w:color w:val="000000"/>
        </w:rPr>
        <w:t>затрат, при</w:t>
      </w:r>
      <w:r>
        <w:t xml:space="preserve"> этом размер предоставляемой субсидии не может превышать размера </w:t>
      </w:r>
      <w:r>
        <w:t>субсидии, указанного в заявке</w:t>
      </w:r>
      <w:r>
        <w:t>.</w:t>
      </w:r>
    </w:p>
    <w:p w14:paraId="03010000">
      <w:pPr>
        <w:widowControl w:val="1"/>
        <w:ind w:firstLine="567"/>
        <w:jc w:val="both"/>
      </w:pPr>
      <w:r>
        <w:t>В случае если размер субсидии, рассчитанный в соответствии с настоящим пунктом, превышает нераспределенный остаток бюджетных ассигнований на предоставление субсидий, субсидия предоставляется получателю субсидии в размере нераспределенного остатка бюджетных ассигнов</w:t>
      </w:r>
      <w:r>
        <w:t>аний на предоставление субсидий.</w:t>
      </w:r>
    </w:p>
    <w:p w14:paraId="04010000">
      <w:pPr>
        <w:pStyle w:val="Style_4"/>
        <w:widowControl w:val="1"/>
        <w:tabs>
          <w:tab w:leader="none" w:pos="1134" w:val="left"/>
        </w:tabs>
        <w:ind w:firstLine="567" w:left="0"/>
        <w:jc w:val="both"/>
      </w:pPr>
    </w:p>
    <w:p w14:paraId="05010000">
      <w:pPr>
        <w:widowControl w:val="0"/>
        <w:numPr>
          <w:ilvl w:val="0"/>
          <w:numId w:val="7"/>
        </w:numPr>
        <w:ind/>
        <w:contextualSpacing w:val="1"/>
        <w:jc w:val="center"/>
        <w:rPr>
          <w:b w:val="1"/>
        </w:rPr>
      </w:pPr>
      <w:r>
        <w:rPr>
          <w:b w:val="1"/>
        </w:rPr>
        <w:t xml:space="preserve">Требования к </w:t>
      </w:r>
      <w:r>
        <w:rPr>
          <w:b w:val="1"/>
        </w:rPr>
        <w:t xml:space="preserve">предоставлению </w:t>
      </w:r>
      <w:r>
        <w:rPr>
          <w:b w:val="1"/>
        </w:rPr>
        <w:t xml:space="preserve">отчетности </w:t>
      </w:r>
    </w:p>
    <w:p w14:paraId="06010000">
      <w:pPr>
        <w:widowControl w:val="1"/>
        <w:ind w:firstLine="709"/>
        <w:jc w:val="both"/>
      </w:pPr>
    </w:p>
    <w:p w14:paraId="07010000">
      <w:pPr>
        <w:pStyle w:val="Style_4"/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jc w:val="both"/>
        <w:rPr>
          <w:i w:val="1"/>
        </w:rPr>
      </w:pPr>
      <w:bookmarkStart w:id="2" w:name="Par117"/>
      <w:bookmarkEnd w:id="2"/>
      <w:r>
        <w:t>Получател</w:t>
      </w:r>
      <w:r>
        <w:t>и</w:t>
      </w:r>
      <w:r>
        <w:t xml:space="preserve"> субсиди</w:t>
      </w:r>
      <w:r>
        <w:t>й</w:t>
      </w:r>
      <w:r>
        <w:t xml:space="preserve"> по итогам 2025 года</w:t>
      </w:r>
      <w:r>
        <w:t xml:space="preserve"> </w:t>
      </w:r>
      <w:r>
        <w:t>не позднее 30.04.202</w:t>
      </w:r>
      <w:r>
        <w:t>6</w:t>
      </w:r>
      <w:r>
        <w:t xml:space="preserve"> </w:t>
      </w:r>
      <w:r>
        <w:t xml:space="preserve">представляют </w:t>
      </w:r>
      <w:r>
        <w:br/>
      </w:r>
      <w:r>
        <w:t xml:space="preserve">в Комитет </w:t>
      </w:r>
      <w:r>
        <w:t>посредством</w:t>
      </w:r>
      <w:r>
        <w:t xml:space="preserve"> АИС</w:t>
      </w:r>
      <w:r>
        <w:t xml:space="preserve"> БП-ЭК отчет о достижении</w:t>
      </w:r>
      <w:r>
        <w:t xml:space="preserve"> значений результата </w:t>
      </w:r>
      <w:r>
        <w:br/>
      </w:r>
      <w:r>
        <w:t>и характеристик</w:t>
      </w:r>
      <w:r>
        <w:t xml:space="preserve"> по формам, </w:t>
      </w:r>
      <w:r>
        <w:t xml:space="preserve">определенным </w:t>
      </w:r>
      <w:r>
        <w:t>Т</w:t>
      </w:r>
      <w:r>
        <w:t xml:space="preserve">иповой формой </w:t>
      </w:r>
      <w:r>
        <w:t>(далее – отчетность)</w:t>
      </w:r>
      <w:r>
        <w:t xml:space="preserve">, а также отчетные документы, перечень которых и требования к которым установлены </w:t>
      </w:r>
      <w:r>
        <w:br/>
      </w:r>
      <w:r>
        <w:t>в приложении № 3 к настоящему Порядку (далее – отчетные документы).</w:t>
      </w:r>
    </w:p>
    <w:p w14:paraId="08010000">
      <w:pPr>
        <w:pStyle w:val="Style_4"/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jc w:val="both"/>
      </w:pPr>
      <w:r>
        <w:t>Требования к оформлению отчетности (за исключением</w:t>
      </w:r>
      <w:r>
        <w:t xml:space="preserve"> форм отчетности) </w:t>
      </w:r>
      <w:r>
        <w:br/>
      </w:r>
      <w:r>
        <w:t xml:space="preserve">и отчетных документов установлены </w:t>
      </w:r>
      <w:r>
        <w:t>в пункт</w:t>
      </w:r>
      <w:r>
        <w:t>е</w:t>
      </w:r>
      <w:r>
        <w:t xml:space="preserve"> 2 приложения № 3 к настоящему Порядку</w:t>
      </w:r>
      <w:r>
        <w:t>.</w:t>
      </w:r>
      <w:r>
        <w:t xml:space="preserve"> </w:t>
      </w:r>
    </w:p>
    <w:p w14:paraId="09010000">
      <w:pPr>
        <w:pStyle w:val="Style_4"/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jc w:val="both"/>
      </w:pPr>
      <w:r>
        <w:t>Отчетность и отчетные документы должны быть заверены подписью руководителя организации. При представлении отчетности и отчетных документов иным уполномоченным лицом предоставляется уполномочивающий документ.</w:t>
      </w:r>
    </w:p>
    <w:p w14:paraId="0A010000">
      <w:pPr>
        <w:pStyle w:val="Style_4"/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jc w:val="both"/>
      </w:pPr>
      <w:r>
        <w:t>При инициировании в отношении получателя</w:t>
      </w:r>
      <w:r>
        <w:t xml:space="preserve"> субсидии процедуры банкротства </w:t>
      </w:r>
      <w:r>
        <w:t xml:space="preserve">до установленного срока представления отчетности направление ее в Комитет </w:t>
      </w:r>
      <w:r>
        <w:br/>
      </w:r>
      <w:r>
        <w:t xml:space="preserve">(с приложением отчетных документов) осуществляется получателем субсидии не позднее </w:t>
      </w:r>
      <w:r>
        <w:t>пятнадцати</w:t>
      </w:r>
      <w:r>
        <w:t xml:space="preserve"> рабочих дней со дня</w:t>
      </w:r>
      <w:r>
        <w:t xml:space="preserve"> </w:t>
      </w:r>
      <w:r>
        <w:t xml:space="preserve">вынесения арбитражным судом определения о принятии </w:t>
      </w:r>
      <w:r>
        <w:br/>
      </w:r>
      <w:r>
        <w:t>к производству заявления о признании получателя субсидии банкротом</w:t>
      </w:r>
      <w:r>
        <w:t>.</w:t>
      </w:r>
      <w:r>
        <w:t xml:space="preserve"> </w:t>
      </w:r>
    </w:p>
    <w:p w14:paraId="0B010000">
      <w:pPr>
        <w:pStyle w:val="Style_4"/>
        <w:widowControl w:val="1"/>
        <w:tabs>
          <w:tab w:leader="none" w:pos="1134" w:val="left"/>
        </w:tabs>
        <w:ind w:firstLine="567" w:left="0"/>
        <w:jc w:val="both"/>
      </w:pPr>
      <w:r>
        <w:t xml:space="preserve">Отчетность </w:t>
      </w:r>
      <w:r>
        <w:t xml:space="preserve">и отчетные документы </w:t>
      </w:r>
      <w:r>
        <w:t>направля</w:t>
      </w:r>
      <w:r>
        <w:t>ю</w:t>
      </w:r>
      <w:r>
        <w:t xml:space="preserve">тся с сопроводительным </w:t>
      </w:r>
      <w:r>
        <w:t xml:space="preserve">письмом, содержащим информацию </w:t>
      </w:r>
      <w:r>
        <w:t>о данном обстоятельстве.</w:t>
      </w:r>
    </w:p>
    <w:p w14:paraId="0C010000">
      <w:pPr>
        <w:pStyle w:val="Style_4"/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jc w:val="both"/>
      </w:pPr>
      <w:r>
        <w:t xml:space="preserve">Проверка отчетности </w:t>
      </w:r>
      <w:r>
        <w:t>и отчетных</w:t>
      </w:r>
      <w:r>
        <w:t xml:space="preserve"> документов </w:t>
      </w:r>
      <w:r>
        <w:t xml:space="preserve">осуществляется </w:t>
      </w:r>
      <w:r>
        <w:t>О</w:t>
      </w:r>
      <w:r>
        <w:t xml:space="preserve">тделом </w:t>
      </w:r>
      <w:r>
        <w:t xml:space="preserve">в течение </w:t>
      </w:r>
      <w:r>
        <w:t>тридцати</w:t>
      </w:r>
      <w:r>
        <w:t xml:space="preserve"> рабочих дней со дня</w:t>
      </w:r>
      <w:r>
        <w:t xml:space="preserve"> </w:t>
      </w:r>
      <w:r>
        <w:t xml:space="preserve">их поступления через АИС БП-ЭК в порядке, определенном </w:t>
      </w:r>
      <w:r>
        <w:br/>
      </w:r>
      <w:r>
        <w:t>в пункте 3 приложения № 3 к настоящему Порядку</w:t>
      </w:r>
      <w:r>
        <w:t>.</w:t>
      </w:r>
    </w:p>
    <w:p w14:paraId="0D010000">
      <w:pPr>
        <w:pStyle w:val="Style_4"/>
        <w:widowControl w:val="1"/>
        <w:tabs>
          <w:tab w:leader="none" w:pos="1134" w:val="left"/>
        </w:tabs>
        <w:ind w:firstLine="567" w:left="0"/>
        <w:jc w:val="both"/>
      </w:pPr>
      <w:r>
        <w:t xml:space="preserve">Результаты проверки отражаются в акте, составляемом в соответствии с пунктом </w:t>
      </w:r>
      <w:r>
        <w:br/>
      </w:r>
      <w:r>
        <w:t>6.2 настоящего Порядка. После подписания указанного акта проверенная отчетность подлежит подписанию или возврату на доработку в АИС БП-ЭК со стороны Комитета.</w:t>
      </w:r>
    </w:p>
    <w:p w14:paraId="0E010000">
      <w:pPr>
        <w:widowControl w:val="1"/>
        <w:tabs>
          <w:tab w:leader="none" w:pos="1134" w:val="left"/>
        </w:tabs>
        <w:ind/>
        <w:jc w:val="both"/>
      </w:pPr>
    </w:p>
    <w:p w14:paraId="0F010000">
      <w:pPr>
        <w:widowControl w:val="0"/>
        <w:numPr>
          <w:ilvl w:val="0"/>
          <w:numId w:val="7"/>
        </w:numPr>
        <w:ind/>
        <w:contextualSpacing w:val="1"/>
        <w:jc w:val="center"/>
        <w:rPr>
          <w:b w:val="1"/>
          <w:color w:val="000000"/>
        </w:rPr>
      </w:pPr>
      <w:r>
        <w:rPr>
          <w:b w:val="1"/>
        </w:rPr>
        <w:t>Требо</w:t>
      </w:r>
      <w:r>
        <w:rPr>
          <w:b w:val="1"/>
        </w:rPr>
        <w:t xml:space="preserve">вания об осуществлении контроля </w:t>
      </w:r>
      <w:r>
        <w:rPr>
          <w:b w:val="1"/>
        </w:rPr>
        <w:t xml:space="preserve">(мониторинга) </w:t>
      </w:r>
      <w:r>
        <w:rPr>
          <w:b w:val="1"/>
        </w:rPr>
        <w:br/>
      </w:r>
      <w:r>
        <w:rPr>
          <w:b w:val="1"/>
          <w:color w:val="000000"/>
        </w:rPr>
        <w:t xml:space="preserve">за соблюдением </w:t>
      </w:r>
      <w:r>
        <w:rPr>
          <w:b w:val="1"/>
          <w:color w:val="000000"/>
        </w:rPr>
        <w:t>условий и порядка предоставления</w:t>
      </w:r>
      <w:r>
        <w:rPr>
          <w:b w:val="1"/>
          <w:color w:val="000000"/>
        </w:rPr>
        <w:t xml:space="preserve"> </w:t>
      </w:r>
      <w:r>
        <w:rPr>
          <w:b w:val="1"/>
          <w:color w:val="000000"/>
        </w:rPr>
        <w:t>субсидий</w:t>
      </w:r>
    </w:p>
    <w:p w14:paraId="10010000">
      <w:pPr>
        <w:widowControl w:val="0"/>
        <w:ind w:left="360"/>
        <w:contextualSpacing w:val="1"/>
        <w:jc w:val="center"/>
        <w:rPr>
          <w:b w:val="1"/>
          <w:color w:val="000000"/>
        </w:rPr>
      </w:pPr>
      <w:r>
        <w:rPr>
          <w:b w:val="1"/>
          <w:color w:val="000000"/>
        </w:rPr>
        <w:t>и ответственность за их нарушение</w:t>
      </w:r>
    </w:p>
    <w:p w14:paraId="11010000">
      <w:pPr>
        <w:widowControl w:val="1"/>
        <w:ind w:firstLine="709"/>
        <w:rPr>
          <w:color w:val="000000"/>
        </w:rPr>
      </w:pPr>
    </w:p>
    <w:p w14:paraId="12010000">
      <w:pPr>
        <w:pStyle w:val="Style_7"/>
        <w:widowControl w:val="1"/>
        <w:numPr>
          <w:ilvl w:val="1"/>
          <w:numId w:val="8"/>
        </w:numPr>
        <w:tabs>
          <w:tab w:leader="none" w:pos="1134" w:val="left"/>
        </w:tabs>
        <w:ind w:firstLine="567" w:left="0"/>
        <w:jc w:val="both"/>
      </w:pPr>
      <w:r>
        <w:t>Комитет</w:t>
      </w:r>
      <w:r>
        <w:t xml:space="preserve"> </w:t>
      </w:r>
      <w:r>
        <w:t xml:space="preserve">в рамках проверки </w:t>
      </w:r>
      <w:r>
        <w:t>отчетности</w:t>
      </w:r>
      <w:r>
        <w:t xml:space="preserve"> и отчетных документов</w:t>
      </w:r>
      <w:r>
        <w:t xml:space="preserve">, срок проведения которой </w:t>
      </w:r>
      <w:r>
        <w:t>установлен в пункте 5.5</w:t>
      </w:r>
      <w:r>
        <w:t xml:space="preserve"> настоящего</w:t>
      </w:r>
      <w:r>
        <w:t xml:space="preserve"> Порядка, </w:t>
      </w:r>
      <w:r>
        <w:rPr>
          <w:color w:val="000000"/>
        </w:rPr>
        <w:t>осуществляет проверку соблюдения условий и порядка предоставления субсидии</w:t>
      </w:r>
      <w:r>
        <w:t xml:space="preserve">, </w:t>
      </w:r>
      <w:r>
        <w:t xml:space="preserve">в том числе в части </w:t>
      </w:r>
      <w:r>
        <w:t>достижения получателем субсидии результата</w:t>
      </w:r>
      <w:r>
        <w:t xml:space="preserve"> (далее – проверка)</w:t>
      </w:r>
      <w:r>
        <w:t>.</w:t>
      </w:r>
      <w:r>
        <w:t xml:space="preserve"> </w:t>
      </w:r>
    </w:p>
    <w:p w14:paraId="13010000">
      <w:pPr>
        <w:widowControl w:val="1"/>
        <w:ind w:firstLine="567"/>
        <w:jc w:val="both"/>
        <w:rPr>
          <w:i w:val="1"/>
        </w:rPr>
      </w:pPr>
      <w:r>
        <w:t xml:space="preserve">В случае непредставления получателем субсидии отчетности и отчетных документов </w:t>
      </w:r>
      <w:r>
        <w:br/>
      </w:r>
      <w:r>
        <w:t xml:space="preserve">в сроки, установленные в пункте 5.1 настоящего Порядка, проверка осуществляется </w:t>
      </w:r>
      <w:r>
        <w:br/>
      </w:r>
      <w:r>
        <w:t xml:space="preserve">в течение </w:t>
      </w:r>
      <w:r>
        <w:t>пятнадцати</w:t>
      </w:r>
      <w:r>
        <w:t xml:space="preserve"> рабочих</w:t>
      </w:r>
      <w:r>
        <w:t xml:space="preserve"> дней со дня истечения указанного срока</w:t>
      </w:r>
      <w:r>
        <w:t xml:space="preserve"> (аналогичный срок </w:t>
      </w:r>
      <w:r>
        <w:t xml:space="preserve">проведения указанной проверки устанавливается при непредоставлении получателем субсидии отчетности и отчетных документов в срок, </w:t>
      </w:r>
      <w:r>
        <w:t>установ</w:t>
      </w:r>
      <w:r>
        <w:t>ленный в пункте 5.</w:t>
      </w:r>
      <w:r>
        <w:t>1</w:t>
      </w:r>
      <w:r>
        <w:t xml:space="preserve"> настоящего </w:t>
      </w:r>
      <w:r>
        <w:t xml:space="preserve">Порядка, если Комитет располагает полученной из официальных источников информацией о вынесении арбитражным судом определения о принятии </w:t>
      </w:r>
      <w:r>
        <w:br/>
      </w:r>
      <w:r>
        <w:t xml:space="preserve">к производству заявления о признании получателя субсидии </w:t>
      </w:r>
      <w:r>
        <w:t>банкротом</w:t>
      </w:r>
      <w:r>
        <w:t>)</w:t>
      </w:r>
      <w:r>
        <w:t>.</w:t>
      </w:r>
    </w:p>
    <w:p w14:paraId="14010000">
      <w:pPr>
        <w:pStyle w:val="Style_7"/>
        <w:widowControl w:val="1"/>
        <w:numPr>
          <w:ilvl w:val="1"/>
          <w:numId w:val="8"/>
        </w:numPr>
        <w:tabs>
          <w:tab w:leader="none" w:pos="1134" w:val="left"/>
        </w:tabs>
        <w:ind w:firstLine="567" w:left="0"/>
        <w:jc w:val="both"/>
      </w:pPr>
      <w:r>
        <w:t>По результатам проверки составляется акт проведения проверки (</w:t>
      </w:r>
      <w:r>
        <w:t>далее – акт</w:t>
      </w:r>
      <w:r>
        <w:t>), с</w:t>
      </w:r>
      <w:r>
        <w:t xml:space="preserve">оставление </w:t>
      </w:r>
      <w:r>
        <w:t>и</w:t>
      </w:r>
      <w:r>
        <w:t xml:space="preserve"> подписание </w:t>
      </w:r>
      <w:r>
        <w:t xml:space="preserve">которого </w:t>
      </w:r>
      <w:r>
        <w:t>должно быть осуществлено не позднее пяти рабочих дней со дня окончания срока проверки</w:t>
      </w:r>
      <w:r>
        <w:t>.</w:t>
      </w:r>
      <w:r>
        <w:t xml:space="preserve"> </w:t>
      </w:r>
      <w:r>
        <w:t xml:space="preserve">Копия акта в течение </w:t>
      </w:r>
      <w:r>
        <w:t>пяти</w:t>
      </w:r>
      <w:r>
        <w:t xml:space="preserve"> </w:t>
      </w:r>
      <w:r>
        <w:t xml:space="preserve">рабочих дней после подписания </w:t>
      </w:r>
      <w:r>
        <w:t xml:space="preserve">подлежит направлению </w:t>
      </w:r>
      <w:r>
        <w:t xml:space="preserve">в Комитет государственного финансового контроля Санкт-Петербурга (далее </w:t>
      </w:r>
      <w:r>
        <w:t>–</w:t>
      </w:r>
      <w:r>
        <w:t xml:space="preserve"> КГФК).</w:t>
      </w:r>
    </w:p>
    <w:p w14:paraId="15010000">
      <w:pPr>
        <w:pStyle w:val="Style_7"/>
        <w:widowControl w:val="1"/>
        <w:numPr>
          <w:ilvl w:val="1"/>
          <w:numId w:val="8"/>
        </w:numPr>
        <w:ind w:firstLine="567" w:left="0"/>
        <w:jc w:val="both"/>
      </w:pPr>
      <w:r>
        <w:t xml:space="preserve">В случае выявления при проведении проверки нарушений получателем субсидии условий и(или) порядка предоставления субсидии (далее – нарушения) Комитет </w:t>
      </w:r>
      <w:r>
        <w:br/>
      </w:r>
      <w:r>
        <w:t xml:space="preserve">не позднее трех рабочих дней с даты подписания акта направляет получателю субсидии </w:t>
      </w:r>
      <w:r>
        <w:br/>
      </w:r>
      <w:r>
        <w:t>по</w:t>
      </w:r>
      <w:r>
        <w:t xml:space="preserve"> адрес</w:t>
      </w:r>
      <w:r>
        <w:t>у электронной почты, указанному</w:t>
      </w:r>
      <w:r>
        <w:t xml:space="preserve"> в заявке, уведомление о нарушениях, в котором указываются выявленные нарушен</w:t>
      </w:r>
      <w:r>
        <w:t>ия и срок для их устранения, который не должен</w:t>
      </w:r>
      <w:r>
        <w:t xml:space="preserve"> превышать </w:t>
      </w:r>
      <w:r>
        <w:t>двадцати</w:t>
      </w:r>
      <w:r>
        <w:t xml:space="preserve"> рабочих дней с даты направления указанного уведомления.</w:t>
      </w:r>
    </w:p>
    <w:p w14:paraId="16010000">
      <w:pPr>
        <w:pStyle w:val="Style_7"/>
        <w:widowControl w:val="1"/>
        <w:ind w:firstLine="567"/>
        <w:jc w:val="both"/>
      </w:pPr>
      <w:r>
        <w:t>Выявленные нарушения должны быть устранены получателем субсидии в срок, установленный в уведомлении о нарушениях.</w:t>
      </w:r>
    </w:p>
    <w:p w14:paraId="17010000">
      <w:pPr>
        <w:widowControl w:val="1"/>
        <w:ind w:firstLine="567"/>
        <w:jc w:val="both"/>
      </w:pPr>
      <w:r>
        <w:t>В случае</w:t>
      </w:r>
      <w:r>
        <w:t>,</w:t>
      </w:r>
      <w:r>
        <w:t xml:space="preserve"> если при проведении проверки невозможно установить на</w:t>
      </w:r>
      <w:r>
        <w:t xml:space="preserve">личие </w:t>
      </w:r>
      <w:r>
        <w:br/>
      </w:r>
      <w:r>
        <w:t xml:space="preserve">или отсутствие нарушений </w:t>
      </w:r>
      <w:r>
        <w:t xml:space="preserve">в связи с </w:t>
      </w:r>
      <w:r>
        <w:t xml:space="preserve">имеющимися </w:t>
      </w:r>
      <w:r>
        <w:t>замечаниями к отчету и(или)</w:t>
      </w:r>
      <w:r>
        <w:t xml:space="preserve"> отчетны</w:t>
      </w:r>
      <w:r>
        <w:t>м</w:t>
      </w:r>
      <w:r>
        <w:t xml:space="preserve"> документ</w:t>
      </w:r>
      <w:r>
        <w:t>ам</w:t>
      </w:r>
      <w:r>
        <w:t xml:space="preserve"> </w:t>
      </w:r>
      <w:r>
        <w:t>(далее – замечания)</w:t>
      </w:r>
      <w:r>
        <w:t>,</w:t>
      </w:r>
      <w:r>
        <w:t xml:space="preserve"> Комитет направляет получателю субсидии </w:t>
      </w:r>
      <w:r>
        <w:rPr>
          <w:color w:themeColor="text1" w:val="000000"/>
        </w:rPr>
        <w:t>по</w:t>
      </w:r>
      <w:r>
        <w:rPr>
          <w:color w:themeColor="text1" w:val="000000"/>
        </w:rPr>
        <w:t xml:space="preserve"> адрес</w:t>
      </w:r>
      <w:r>
        <w:rPr>
          <w:color w:themeColor="text1" w:val="000000"/>
        </w:rPr>
        <w:t>у электронной почты, указанному</w:t>
      </w:r>
      <w:r>
        <w:rPr>
          <w:color w:themeColor="text1" w:val="000000"/>
        </w:rPr>
        <w:t xml:space="preserve"> в </w:t>
      </w:r>
      <w:r>
        <w:rPr>
          <w:color w:themeColor="text1" w:val="000000"/>
        </w:rPr>
        <w:t>заявке</w:t>
      </w:r>
      <w:r>
        <w:rPr>
          <w:color w:themeColor="text1" w:val="000000"/>
        </w:rPr>
        <w:t xml:space="preserve">, </w:t>
      </w:r>
      <w:r>
        <w:t>уведомление о замечаниях, в котор</w:t>
      </w:r>
      <w:r>
        <w:t>ом указываются замечания и срок</w:t>
      </w:r>
      <w:r>
        <w:t xml:space="preserve"> для их устранения, а также срок для повторной подачи отчетности с приложением отчетных документов</w:t>
      </w:r>
      <w:r>
        <w:t xml:space="preserve"> (при необходимости)</w:t>
      </w:r>
      <w:r>
        <w:t xml:space="preserve">. После устранения замечаний </w:t>
      </w:r>
      <w:r>
        <w:t>и</w:t>
      </w:r>
      <w:r>
        <w:t>(или)</w:t>
      </w:r>
      <w:r>
        <w:t xml:space="preserve"> повторной подачи отчетности Комитет проводит повторную проверку соблюдения</w:t>
      </w:r>
      <w:r>
        <w:rPr>
          <w:color w:val="FF0000"/>
        </w:rPr>
        <w:t xml:space="preserve"> </w:t>
      </w:r>
      <w:r>
        <w:t>условий и порядка</w:t>
      </w:r>
      <w:r>
        <w:t xml:space="preserve"> предоставления субсидии в срок, установленный</w:t>
      </w:r>
      <w:r>
        <w:t xml:space="preserve"> в пункте 5.5 настоящего Порядка. </w:t>
      </w:r>
    </w:p>
    <w:p w14:paraId="18010000">
      <w:pPr>
        <w:widowControl w:val="1"/>
        <w:ind w:firstLine="567"/>
        <w:jc w:val="both"/>
      </w:pPr>
      <w: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14:paraId="19010000">
      <w:pPr>
        <w:pStyle w:val="Style_7"/>
        <w:widowControl w:val="1"/>
        <w:numPr>
          <w:ilvl w:val="1"/>
          <w:numId w:val="8"/>
        </w:numPr>
        <w:tabs>
          <w:tab w:leader="none" w:pos="1134" w:val="left"/>
        </w:tabs>
        <w:ind w:firstLine="567" w:left="0"/>
        <w:jc w:val="both"/>
      </w:pPr>
      <w:r>
        <w:t xml:space="preserve">В случае неустранения </w:t>
      </w:r>
      <w:r>
        <w:t xml:space="preserve">получателем субсидии </w:t>
      </w:r>
      <w:r>
        <w:t xml:space="preserve">выявленных </w:t>
      </w:r>
      <w:r>
        <w:t>нарушений (замечаний) в срок, установленный</w:t>
      </w:r>
      <w:r>
        <w:t xml:space="preserve"> в уведомлении о нарушениях (уведомлении </w:t>
      </w:r>
      <w:r>
        <w:br/>
      </w:r>
      <w:r>
        <w:t>о замечаниях), Комитет в течение пяти рабочих дней</w:t>
      </w:r>
      <w:r>
        <w:t xml:space="preserve"> со дня истечения указанного срока</w:t>
      </w:r>
      <w:r>
        <w:t xml:space="preserve">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</w:t>
      </w:r>
      <w:r>
        <w:t>ет его копии получателю субсиди</w:t>
      </w:r>
      <w:r>
        <w:t>и</w:t>
      </w:r>
      <w:r>
        <w:t xml:space="preserve"> и в КГФК вместе с требованием к получателю субсидии, в котором предусматриваются:</w:t>
      </w:r>
    </w:p>
    <w:p w14:paraId="1A010000">
      <w:pPr>
        <w:pStyle w:val="Style_7"/>
        <w:widowControl w:val="1"/>
        <w:tabs>
          <w:tab w:leader="none" w:pos="1134" w:val="left"/>
        </w:tabs>
        <w:ind w:firstLine="567"/>
        <w:jc w:val="both"/>
      </w:pPr>
      <w:r>
        <w:t>подлежащая возврату в бюджет Санкт-Петербурга сумма</w:t>
      </w:r>
      <w:r>
        <w:t xml:space="preserve"> средств субсидии, а также срок</w:t>
      </w:r>
      <w:r>
        <w:t xml:space="preserve"> ее возврата;</w:t>
      </w:r>
    </w:p>
    <w:p w14:paraId="1B010000">
      <w:pPr>
        <w:widowControl w:val="1"/>
        <w:ind w:firstLine="567"/>
        <w:jc w:val="both"/>
      </w:pPr>
      <w:r>
        <w:t>код бюджетной классификации Российской Федерации, по которому должен быть осуществлен возврат средств субсидии.</w:t>
      </w:r>
    </w:p>
    <w:p w14:paraId="1C010000">
      <w:pPr>
        <w:pStyle w:val="Style_7"/>
        <w:widowControl w:val="1"/>
        <w:numPr>
          <w:ilvl w:val="1"/>
          <w:numId w:val="8"/>
        </w:numPr>
        <w:tabs>
          <w:tab w:leader="none" w:pos="993" w:val="left"/>
        </w:tabs>
        <w:ind w:firstLine="567" w:left="0"/>
        <w:jc w:val="both"/>
      </w:pPr>
      <w:r>
        <w:t xml:space="preserve"> </w:t>
      </w:r>
      <w:r>
        <w:t xml:space="preserve">В случае выявления при проведении проверки </w:t>
      </w:r>
      <w:r>
        <w:t xml:space="preserve">недостижения получателем субсидии результата Комитет одновременно с подписанием акта принимает решение </w:t>
      </w:r>
      <w:r>
        <w:br/>
      </w:r>
      <w:r>
        <w:t>в форме распоряжения о возврате в бюджет Санкт-Петербурга средств субсиди</w:t>
      </w:r>
      <w:r>
        <w:t>и</w:t>
      </w:r>
      <w:r>
        <w:t xml:space="preserve"> в объеме, соответствующем недостигнутому результату</w:t>
      </w:r>
      <w:r>
        <w:t>,</w:t>
      </w:r>
      <w:r>
        <w:t xml:space="preserve"> исходя из недостигнутых значений характеристик, рассчитанном в соответствии с пунктом 6.6 настоящего Порядка, </w:t>
      </w:r>
      <w:r>
        <w:br/>
      </w:r>
      <w:r>
        <w:t xml:space="preserve">и </w:t>
      </w:r>
      <w:r>
        <w:t xml:space="preserve">не позднее пяти рабочих дней с даты издания указанного распоряжения </w:t>
      </w:r>
      <w:r>
        <w:t>направляет</w:t>
      </w:r>
      <w:r>
        <w:t xml:space="preserve"> </w:t>
      </w:r>
      <w:r>
        <w:br/>
      </w:r>
      <w:r>
        <w:t>его</w:t>
      </w:r>
      <w:r>
        <w:t xml:space="preserve"> копию получателю субсидии </w:t>
      </w:r>
      <w:r>
        <w:t xml:space="preserve">и в КГФК </w:t>
      </w:r>
      <w:r>
        <w:t>вместе с требованием</w:t>
      </w:r>
      <w:r>
        <w:t xml:space="preserve"> к получателю субсидии</w:t>
      </w:r>
      <w:r>
        <w:t>, в котором предусматриваются:</w:t>
      </w:r>
    </w:p>
    <w:p w14:paraId="1D010000">
      <w:pPr>
        <w:pStyle w:val="Style_7"/>
        <w:widowControl w:val="1"/>
        <w:tabs>
          <w:tab w:leader="none" w:pos="993" w:val="left"/>
        </w:tabs>
        <w:ind w:firstLine="567"/>
        <w:jc w:val="both"/>
      </w:pPr>
      <w:r>
        <w:t>подлежащая возврату в бюджет Санкт-Петербурга сумма</w:t>
      </w:r>
      <w:r>
        <w:t xml:space="preserve"> средств субсидии, а также срок</w:t>
      </w:r>
      <w:r>
        <w:t xml:space="preserve"> ее возврата;</w:t>
      </w:r>
    </w:p>
    <w:p w14:paraId="1E010000">
      <w:pPr>
        <w:widowControl w:val="1"/>
        <w:ind w:firstLine="567"/>
        <w:jc w:val="both"/>
      </w:pPr>
      <w:r>
        <w:t>код бюджетной классификации Российской Федерации, по которому должен быть осуществлен возврат средств субсидии.</w:t>
      </w:r>
    </w:p>
    <w:p w14:paraId="1F010000">
      <w:pPr>
        <w:widowControl w:val="1"/>
        <w:numPr>
          <w:ilvl w:val="1"/>
          <w:numId w:val="8"/>
        </w:numPr>
        <w:tabs>
          <w:tab w:leader="none" w:pos="1134" w:val="left"/>
        </w:tabs>
        <w:ind w:firstLine="567" w:left="0"/>
        <w:jc w:val="both"/>
      </w:pPr>
      <w:r>
        <w:t xml:space="preserve">Размер </w:t>
      </w:r>
      <w:r>
        <w:t>средств субсидии, подлежащ</w:t>
      </w:r>
      <w:r>
        <w:t>и</w:t>
      </w:r>
      <w:r>
        <w:t>й</w:t>
      </w:r>
      <w:r>
        <w:t xml:space="preserve"> возврату в бюджет </w:t>
      </w:r>
      <w:r>
        <w:t xml:space="preserve">Санкт-Петербурга </w:t>
      </w:r>
      <w:r>
        <w:t>(Р)</w:t>
      </w:r>
      <w:r>
        <w:t xml:space="preserve"> </w:t>
      </w:r>
      <w:r>
        <w:t>применительно к пункт</w:t>
      </w:r>
      <w:r>
        <w:t>у</w:t>
      </w:r>
      <w:r>
        <w:t xml:space="preserve"> </w:t>
      </w:r>
      <w:r>
        <w:t>6.5</w:t>
      </w:r>
      <w:r>
        <w:t xml:space="preserve"> настоящего Порядка</w:t>
      </w:r>
      <w:r>
        <w:t>,</w:t>
      </w:r>
      <w:r>
        <w:t xml:space="preserve"> </w:t>
      </w:r>
      <w:r>
        <w:t>р</w:t>
      </w:r>
      <w:r>
        <w:t>ас</w:t>
      </w:r>
      <w:r>
        <w:t>с</w:t>
      </w:r>
      <w:r>
        <w:t>читывается</w:t>
      </w:r>
      <w:r>
        <w:t xml:space="preserve"> по следующей </w:t>
      </w:r>
      <w:r>
        <w:t xml:space="preserve">формуле: </w:t>
      </w:r>
    </w:p>
    <w:p w14:paraId="20010000">
      <w:pPr>
        <w:widowControl w:val="0"/>
        <w:tabs>
          <w:tab w:leader="none" w:pos="993" w:val="left"/>
        </w:tabs>
        <w:ind w:firstLine="567"/>
        <w:jc w:val="both"/>
      </w:pPr>
    </w:p>
    <w:p w14:paraId="21010000">
      <w:pPr>
        <w:widowControl w:val="0"/>
        <w:tabs>
          <w:tab w:leader="none" w:pos="1134" w:val="left"/>
        </w:tabs>
        <w:ind w:firstLine="567"/>
        <w:contextualSpacing w:val="1"/>
        <w:jc w:val="both"/>
      </w:pPr>
      <w:bookmarkStart w:id="3" w:name="Par78"/>
      <w:bookmarkEnd w:id="3"/>
      <w:bookmarkStart w:id="4" w:name="Par75"/>
      <w:bookmarkEnd w:id="4"/>
      <m:oMathPara>
        <m:oMath>
          <m:r>
            <w:rPr>
              <w:rFonts w:ascii="Cambria Math" w:hAnsi="Cambria Math"/>
              <w:sz w:val="28"/>
            </w:rPr>
            <m:rPr>
              <m:sty m:val="p"/>
            </m:rPr>
            <m:t>Р</m:t>
          </m:r>
          <m:r>
            <w:rPr>
              <w:rFonts w:ascii="Cambria Math" w:hAnsi="Cambria Math"/>
              <w:sz w:val="28"/>
            </w:rPr>
            <m:t>=</m:t>
          </m:r>
          <m:r>
            <w:rPr>
              <w:rFonts w:ascii="Cambria Math" w:hAnsi="Cambria Math"/>
              <w:sz w:val="28"/>
            </w:rPr>
            <m:rPr>
              <m:nor/>
            </m:rPr>
            <m:t> </m:t>
          </m:r>
          <m:f>
            <m:fPr>
              <m:type m:val="bar"/>
            </m:fPr>
            <m:num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V</m:t>
              </m:r>
            </m:num>
            <m:den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n</m:t>
              </m:r>
            </m:den>
          </m:f>
          <m:r>
            <w:rPr>
              <w:rFonts w:ascii="Cambria Math" w:hAnsi="Cambria Math"/>
              <w:sz w:val="28"/>
            </w:rPr>
            <m:rPr>
              <m:nor/>
            </m:rPr>
            <m:t> </m:t>
          </m:r>
          <m:r>
            <w:rPr>
              <w:rFonts w:ascii="Cambria Math" w:hAnsi="Cambria Math"/>
              <w:sz w:val="28"/>
            </w:rPr>
            <m:t>×</m:t>
          </m:r>
          <m:nary>
            <m:naryPr>
              <m:chr m:val="∑"/>
              <m:limLoc m:val="undOvr"/>
              <m:grow m:val="on"/>
              <m:subHide m:val="off"/>
              <m:supHide m:val="off"/>
            </m:naryPr>
            <m:sub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i</m:t>
              </m:r>
              <m:r>
                <w:rPr>
                  <w:rFonts w:ascii="Cambria Math" w:hAnsi="Cambria Math"/>
                  <w:sz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n</m:t>
              </m:r>
            </m:sup>
            <m:e/>
          </m:nary>
          <m:r>
            <w:rPr>
              <w:rFonts w:ascii="Cambria Math" w:hAnsi="Cambria Math"/>
              <w:sz w:val="28"/>
            </w:rPr>
            <m:t>1-</m:t>
          </m:r>
          <m:r>
            <w:rPr>
              <w:rFonts w:ascii="Cambria Math" w:hAnsi="Cambria Math"/>
              <w:sz w:val="28"/>
            </w:rPr>
            <m:rPr>
              <m:nor/>
            </m:rPr>
            <m:t> </m:t>
          </m:r>
          <m:f>
            <m:fPr>
              <m:type m:val="bar"/>
            </m:fPr>
            <m:num>
              <m:sSub>
                <m:e>
                  <m:r>
                    <w:rPr>
                      <w:rFonts w:ascii="Cambria Math" w:hAnsi="Cambria Math"/>
                      <w:sz w:val="28"/>
                    </w:rPr>
                    <m:rPr>
                      <m:sty m:val="p"/>
                    </m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rPr>
                      <m:sty m:val="p"/>
                    </m:rPr>
                    <m:t>i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  <w:sz w:val="28"/>
                    </w:rPr>
                    <m:rPr>
                      <m:sty m:val="p"/>
                    </m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rPr>
                      <m:sty m:val="p"/>
                    </m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rPr>
              <m:sty m:val="p"/>
            </m:rPr>
            <m:t>right</m:t>
          </m:r>
          <m:r>
            <w:rPr>
              <w:rFonts w:ascii="Cambria Math" w:hAnsi="Cambria Math"/>
              <w:sz w:val="28"/>
            </w:rPr>
            <m:t>),</m:t>
          </m:r>
        </m:oMath>
      </m:oMathPara>
    </w:p>
    <w:p w14:paraId="22010000">
      <w:pPr>
        <w:pStyle w:val="Style_7"/>
        <w:widowControl w:val="1"/>
        <w:tabs>
          <w:tab w:leader="none" w:pos="993" w:val="left"/>
        </w:tabs>
        <w:ind w:firstLine="567"/>
        <w:jc w:val="both"/>
      </w:pPr>
    </w:p>
    <w:p w14:paraId="23010000">
      <w:pPr>
        <w:pStyle w:val="Style_7"/>
        <w:widowControl w:val="1"/>
        <w:tabs>
          <w:tab w:leader="none" w:pos="993" w:val="left"/>
        </w:tabs>
        <w:ind w:firstLine="567"/>
        <w:jc w:val="both"/>
      </w:pPr>
      <w:r>
        <w:t>где:</w:t>
      </w:r>
    </w:p>
    <w:p w14:paraId="24010000">
      <w:pPr>
        <w:widowControl w:val="1"/>
        <w:tabs>
          <w:tab w:leader="none" w:pos="709" w:val="left"/>
          <w:tab w:leader="none" w:pos="1134" w:val="left"/>
        </w:tabs>
        <w:ind w:firstLine="567"/>
        <w:jc w:val="both"/>
      </w:pPr>
      <w:r>
        <w:t>V</w:t>
      </w:r>
      <w:r>
        <w:t xml:space="preserve"> </w:t>
      </w:r>
      <w:r>
        <w:t>–</w:t>
      </w:r>
      <w:r>
        <w:t xml:space="preserve"> </w:t>
      </w:r>
      <w:r>
        <w:t>размер субсидии, предоставленной получателю субсидии</w:t>
      </w:r>
      <w:r>
        <w:t>;</w:t>
      </w:r>
    </w:p>
    <w:p w14:paraId="25010000">
      <w:pPr>
        <w:widowControl w:val="0"/>
        <w:tabs>
          <w:tab w:leader="none" w:pos="993" w:val="left"/>
        </w:tabs>
        <w:ind w:firstLine="567"/>
        <w:jc w:val="both"/>
      </w:pPr>
      <w:r>
        <w:t>n</w:t>
      </w:r>
      <w:r>
        <w:t xml:space="preserve"> </w:t>
      </w:r>
      <w:r>
        <w:t>–</w:t>
      </w:r>
      <w:r>
        <w:t xml:space="preserve"> </w:t>
      </w:r>
      <w:r>
        <w:t>количество характеристик</w:t>
      </w:r>
      <w:r>
        <w:t>;</w:t>
      </w:r>
    </w:p>
    <w:p w14:paraId="26010000">
      <w:pPr>
        <w:widowControl w:val="0"/>
        <w:tabs>
          <w:tab w:leader="none" w:pos="993" w:val="left"/>
        </w:tabs>
        <w:ind w:firstLine="567"/>
        <w:jc w:val="both"/>
      </w:pPr>
      <w:r>
        <w:t>F</w:t>
      </w:r>
      <w:r>
        <w:t xml:space="preserve">i </w:t>
      </w:r>
      <w:r>
        <w:t>–</w:t>
      </w:r>
      <w:r>
        <w:t xml:space="preserve"> </w:t>
      </w:r>
      <w:r>
        <w:t>фактическое</w:t>
      </w:r>
      <w:r>
        <w:t xml:space="preserve"> значение i-</w:t>
      </w:r>
      <w:r>
        <w:t>й</w:t>
      </w:r>
      <w:r>
        <w:t xml:space="preserve"> </w:t>
      </w:r>
      <w:r>
        <w:t>характеристики</w:t>
      </w:r>
      <w:r>
        <w:t xml:space="preserve"> согласно соглашению;</w:t>
      </w:r>
    </w:p>
    <w:p w14:paraId="27010000">
      <w:pPr>
        <w:widowControl w:val="0"/>
        <w:tabs>
          <w:tab w:leader="none" w:pos="993" w:val="left"/>
        </w:tabs>
        <w:ind w:firstLine="567"/>
        <w:jc w:val="both"/>
      </w:pPr>
      <w:r>
        <w:t>P</w:t>
      </w:r>
      <w:r>
        <w:t>i</w:t>
      </w:r>
      <w:r>
        <w:t xml:space="preserve"> </w:t>
      </w:r>
      <w:r>
        <w:t>–</w:t>
      </w:r>
      <w:r>
        <w:t xml:space="preserve"> </w:t>
      </w:r>
      <w:r>
        <w:t xml:space="preserve">плановое значение </w:t>
      </w:r>
      <w:r>
        <w:t>i</w:t>
      </w:r>
      <w:r>
        <w:t xml:space="preserve"> -й характеристики согласно соглашению</w:t>
      </w:r>
      <w:r>
        <w:t>.</w:t>
      </w:r>
    </w:p>
    <w:p w14:paraId="28010000">
      <w:pPr>
        <w:pStyle w:val="Style_7"/>
        <w:widowControl w:val="1"/>
        <w:ind w:firstLine="567"/>
        <w:jc w:val="both"/>
      </w:pPr>
      <w:r>
        <w:t xml:space="preserve">6.7. Получатель </w:t>
      </w:r>
      <w:r>
        <w:t xml:space="preserve">субсидии обязан осуществить возврат средств субсидии </w:t>
      </w:r>
      <w:r>
        <w:t xml:space="preserve">в бюджет Санкт-Петербурга в течение пяти рабочих дней со дня получения требования и копии распоряжения, указанных в </w:t>
      </w:r>
      <w:r>
        <w:t>пунктах 6.4 и 6.5</w:t>
      </w:r>
      <w:r>
        <w:t xml:space="preserve"> настоящего Порядка, на бумажном носителе.</w:t>
      </w:r>
    </w:p>
    <w:p w14:paraId="29010000">
      <w:pPr>
        <w:pStyle w:val="Style_7"/>
        <w:widowControl w:val="1"/>
        <w:ind w:firstLine="567"/>
        <w:jc w:val="both"/>
      </w:pPr>
      <w:r>
        <w:t xml:space="preserve">6.8. </w:t>
      </w:r>
      <w:r>
        <w:t xml:space="preserve">В случае если средства субсидии не возвращены получателем субсидии </w:t>
      </w:r>
      <w:r>
        <w:br/>
      </w:r>
      <w:r>
        <w:t xml:space="preserve">в бюджет Санкт-Петербурга в срок, установленный в </w:t>
      </w:r>
      <w:r>
        <w:t>пункте 6.</w:t>
      </w:r>
      <w:r>
        <w:t xml:space="preserve">7 </w:t>
      </w:r>
      <w:r>
        <w:t xml:space="preserve">настоящего Порядка, Комитет в течение </w:t>
      </w:r>
      <w:r>
        <w:t>пятнадцати</w:t>
      </w:r>
      <w:r>
        <w:t xml:space="preserve"> рабочих дней со дня истечения указанного срока обращается </w:t>
      </w:r>
      <w:r>
        <w:br/>
      </w:r>
      <w:r>
        <w:t>в установленном порядке в суд с требованием к получателю субсидии о возврате средств субсиди</w:t>
      </w:r>
      <w:r>
        <w:t>и</w:t>
      </w:r>
      <w:r>
        <w:t xml:space="preserve"> в бюджет Санкт-Петербурга. </w:t>
      </w:r>
    </w:p>
    <w:p w14:paraId="2A010000">
      <w:pPr>
        <w:pStyle w:val="Style_7"/>
        <w:widowControl w:val="1"/>
        <w:ind w:firstLine="567"/>
        <w:jc w:val="both"/>
      </w:pPr>
      <w:r>
        <w:t xml:space="preserve">6.9. </w:t>
      </w:r>
      <w:r>
        <w:t xml:space="preserve">Проверки органами государственного финансового контроля осуществляются </w:t>
      </w:r>
      <w:r>
        <w:br/>
      </w:r>
      <w:r>
        <w:t>в соответствии</w:t>
      </w:r>
      <w:r>
        <w:t xml:space="preserve"> </w:t>
      </w:r>
      <w:r>
        <w:t>с</w:t>
      </w:r>
      <w:r>
        <w:t xml:space="preserve"> Бюджетн</w:t>
      </w:r>
      <w:r>
        <w:t>ым</w:t>
      </w:r>
      <w:r>
        <w:t xml:space="preserve"> кодекс</w:t>
      </w:r>
      <w:r>
        <w:t>ом</w:t>
      </w:r>
      <w:r>
        <w:t xml:space="preserve"> Российской Федерации</w:t>
      </w:r>
      <w:r>
        <w:t>.</w:t>
      </w:r>
    </w:p>
    <w:p w14:paraId="2B010000">
      <w:pPr>
        <w:widowControl w:val="1"/>
        <w:tabs>
          <w:tab w:leader="none" w:pos="993" w:val="left"/>
        </w:tabs>
        <w:ind w:firstLine="567"/>
        <w:jc w:val="both"/>
      </w:pPr>
    </w:p>
    <w:p w14:paraId="2C010000">
      <w:pPr>
        <w:widowControl w:val="1"/>
        <w:ind w:firstLine="567"/>
      </w:pPr>
      <w:r>
        <w:t>Примечание.</w:t>
      </w:r>
    </w:p>
    <w:p w14:paraId="2D010000">
      <w:pPr>
        <w:widowControl w:val="0"/>
        <w:ind w:firstLine="567"/>
        <w:jc w:val="both"/>
      </w:pPr>
      <w:r>
        <w:t xml:space="preserve">Понятия и термины, используемые в приложениях к настоящему Порядку, </w:t>
      </w:r>
      <w:r>
        <w:br/>
      </w:r>
      <w:r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14:paraId="2E010000">
      <w:pPr>
        <w:sectPr>
          <w:headerReference r:id="rId13" w:type="default"/>
          <w:headerReference r:id="rId14" w:type="first"/>
          <w:headerReference r:id="rId4" w:type="even"/>
          <w:pgSz w:h="16838" w:orient="portrait" w:w="11906"/>
          <w:pgMar w:bottom="1134" w:footer="709" w:gutter="0" w:header="709" w:left="1701" w:right="851" w:top="1134"/>
          <w:pgNumType w:start="1"/>
          <w:titlePg/>
        </w:sectPr>
      </w:pPr>
    </w:p>
    <w:p w14:paraId="2F010000">
      <w:pPr>
        <w:widowControl w:val="0"/>
        <w:ind w:firstLine="424" w:left="4254"/>
      </w:pPr>
      <w:r>
        <w:t>Приложение № 1</w:t>
      </w:r>
    </w:p>
    <w:p w14:paraId="30010000">
      <w:pPr>
        <w:widowControl w:val="1"/>
        <w:ind w:left="4678"/>
        <w:rPr>
          <w:b w:val="1"/>
        </w:rPr>
      </w:pPr>
      <w:r>
        <w:t>к Порядку предоставления в 202</w:t>
      </w:r>
      <w:r>
        <w:t>5</w:t>
      </w:r>
      <w:r>
        <w:t xml:space="preserve"> году субсидий</w:t>
      </w:r>
      <w:r>
        <w:t xml:space="preserve"> </w:t>
      </w:r>
      <w:r>
        <w:t>субъектам малого предпринима</w:t>
      </w:r>
      <w:r>
        <w:t>тельства в сфере промышленности</w:t>
      </w:r>
      <w:r>
        <w:t xml:space="preserve"> в Санкт-Петербурге </w:t>
      </w:r>
      <w:r>
        <w:br/>
      </w:r>
      <w:r>
        <w:t>в целях возмещения</w:t>
      </w:r>
      <w:r>
        <w:t xml:space="preserve"> части затрат, связанных </w:t>
      </w:r>
      <w:r>
        <w:br/>
      </w:r>
      <w:r>
        <w:t xml:space="preserve">с подготовкой, переподготовкой </w:t>
      </w:r>
      <w:r>
        <w:br/>
      </w:r>
      <w:r>
        <w:t>и повышением квалификации кадров</w:t>
      </w:r>
    </w:p>
    <w:p w14:paraId="31010000">
      <w:pPr>
        <w:widowControl w:val="0"/>
        <w:ind w:left="4678"/>
      </w:pPr>
    </w:p>
    <w:p w14:paraId="32010000">
      <w:pPr>
        <w:widowControl w:val="0"/>
        <w:ind w:firstLine="709" w:left="4254"/>
      </w:pPr>
    </w:p>
    <w:p w14:paraId="33010000">
      <w:pPr>
        <w:widowControl w:val="0"/>
        <w:ind w:firstLine="424" w:left="4254"/>
        <w:jc w:val="right"/>
      </w:pPr>
      <w:r>
        <w:t>(</w:t>
      </w:r>
      <w:r>
        <w:t>Ф</w:t>
      </w:r>
      <w:r>
        <w:t>орма)</w:t>
      </w:r>
    </w:p>
    <w:p w14:paraId="34010000">
      <w:pPr>
        <w:widowControl w:val="0"/>
        <w:ind w:firstLine="424" w:left="4254"/>
        <w:jc w:val="right"/>
      </w:pPr>
    </w:p>
    <w:p w14:paraId="35010000">
      <w:pPr>
        <w:widowControl w:val="1"/>
        <w:ind w:left="4678"/>
      </w:pPr>
      <w:r>
        <w:t xml:space="preserve">В Комитет по промышленной политике, </w:t>
      </w:r>
      <w:r>
        <w:br/>
      </w:r>
      <w:r>
        <w:t>инновациям и торговле Санкт-Петербурга</w:t>
      </w:r>
    </w:p>
    <w:p w14:paraId="36010000">
      <w:pPr>
        <w:widowControl w:val="1"/>
        <w:ind w:left="4678"/>
        <w:rPr>
          <w:sz w:val="28"/>
        </w:rPr>
      </w:pPr>
      <w:r>
        <w:t>от _________________________________</w:t>
      </w:r>
    </w:p>
    <w:p w14:paraId="37010000">
      <w:pPr>
        <w:widowControl w:val="1"/>
        <w:ind w:left="4536"/>
        <w:jc w:val="center"/>
        <w:rPr>
          <w:sz w:val="20"/>
        </w:rPr>
      </w:pPr>
      <w:r>
        <w:rPr>
          <w:sz w:val="20"/>
        </w:rPr>
        <w:t>(</w:t>
      </w:r>
      <w:r>
        <w:rPr>
          <w:sz w:val="20"/>
        </w:rPr>
        <w:t>Аббревиатура</w:t>
      </w:r>
      <w:r>
        <w:rPr>
          <w:sz w:val="20"/>
        </w:rPr>
        <w:t xml:space="preserve"> «ИП» и фамилия, имя, отчество </w:t>
      </w:r>
      <w:r>
        <w:rPr>
          <w:sz w:val="20"/>
        </w:rPr>
        <w:br/>
      </w:r>
      <w:r>
        <w:rPr>
          <w:sz w:val="20"/>
        </w:rPr>
        <w:t>(при наличии) индивидуального предпринимателя/п</w:t>
      </w:r>
      <w:r>
        <w:rPr>
          <w:sz w:val="20"/>
        </w:rPr>
        <w:t xml:space="preserve">олное наименование </w:t>
      </w:r>
      <w:r>
        <w:rPr>
          <w:sz w:val="20"/>
        </w:rPr>
        <w:t>организации</w:t>
      </w:r>
      <w:r>
        <w:rPr>
          <w:sz w:val="20"/>
        </w:rPr>
        <w:t xml:space="preserve"> </w:t>
      </w:r>
      <w:r>
        <w:rPr>
          <w:sz w:val="20"/>
        </w:rPr>
        <w:br/>
      </w:r>
      <w:r>
        <w:rPr>
          <w:sz w:val="20"/>
        </w:rPr>
        <w:t>в соответствии с учредительными документами)</w:t>
      </w:r>
    </w:p>
    <w:p w14:paraId="38010000">
      <w:pPr>
        <w:widowControl w:val="1"/>
        <w:ind w:left="4395"/>
      </w:pPr>
    </w:p>
    <w:p w14:paraId="39010000">
      <w:pPr>
        <w:widowControl w:val="1"/>
        <w:ind w:left="4395"/>
      </w:pPr>
    </w:p>
    <w:p w14:paraId="3A010000">
      <w:pPr>
        <w:widowControl w:val="1"/>
        <w:ind/>
        <w:jc w:val="center"/>
        <w:rPr>
          <w:b w:val="1"/>
        </w:rPr>
      </w:pPr>
      <w:r>
        <w:rPr>
          <w:b w:val="1"/>
        </w:rPr>
        <w:t>ЗАЯВКА</w:t>
      </w:r>
    </w:p>
    <w:p w14:paraId="3B010000">
      <w:pPr>
        <w:widowControl w:val="1"/>
        <w:ind/>
        <w:jc w:val="center"/>
        <w:rPr>
          <w:b w:val="1"/>
        </w:rPr>
      </w:pPr>
      <w:r>
        <w:rPr>
          <w:b w:val="1"/>
        </w:rPr>
        <w:t>на участие в отборе на право получения в 202</w:t>
      </w:r>
      <w:r>
        <w:rPr>
          <w:b w:val="1"/>
        </w:rPr>
        <w:t xml:space="preserve">5 году субсидий </w:t>
      </w:r>
      <w:r>
        <w:rPr>
          <w:b w:val="1"/>
        </w:rPr>
        <w:t xml:space="preserve">субъектам </w:t>
      </w:r>
      <w:r>
        <w:rPr>
          <w:b w:val="1"/>
        </w:rPr>
        <w:br/>
      </w:r>
      <w:r>
        <w:rPr>
          <w:b w:val="1"/>
        </w:rPr>
        <w:t>малого предпринимат</w:t>
      </w:r>
      <w:r>
        <w:rPr>
          <w:b w:val="1"/>
        </w:rPr>
        <w:t xml:space="preserve">ельства в сфере промышленности </w:t>
      </w:r>
      <w:r>
        <w:rPr>
          <w:b w:val="1"/>
        </w:rPr>
        <w:t xml:space="preserve">в Санкт-Петербурге </w:t>
      </w:r>
      <w:r>
        <w:rPr>
          <w:b w:val="1"/>
        </w:rPr>
        <w:br/>
      </w:r>
      <w:r>
        <w:rPr>
          <w:b w:val="1"/>
        </w:rPr>
        <w:t xml:space="preserve">в целях возмещения части затрат, связанных с </w:t>
      </w:r>
      <w:r>
        <w:rPr>
          <w:b w:val="1"/>
        </w:rPr>
        <w:t xml:space="preserve">подготовкой, переподготовкой </w:t>
      </w:r>
      <w:r>
        <w:rPr>
          <w:b w:val="1"/>
        </w:rPr>
        <w:br/>
      </w:r>
      <w:r>
        <w:rPr>
          <w:b w:val="1"/>
        </w:rPr>
        <w:t>и повышением квалификации кадров</w:t>
      </w:r>
    </w:p>
    <w:p w14:paraId="3C010000">
      <w:pPr>
        <w:widowControl w:val="1"/>
        <w:ind/>
        <w:jc w:val="center"/>
        <w:rPr>
          <w:b w:val="1"/>
        </w:rPr>
      </w:pPr>
    </w:p>
    <w:p w14:paraId="3D010000">
      <w:pPr>
        <w:widowControl w:val="1"/>
        <w:ind/>
        <w:jc w:val="center"/>
        <w:rPr>
          <w:b w:val="1"/>
        </w:rPr>
      </w:pPr>
    </w:p>
    <w:p w14:paraId="3E010000">
      <w:pPr>
        <w:widowControl w:val="1"/>
        <w:ind w:firstLine="600"/>
        <w:jc w:val="both"/>
      </w:pPr>
      <w:r>
        <w:t xml:space="preserve">В соответствии с Порядком </w:t>
      </w:r>
      <w:r>
        <w:t>предоставления в 202</w:t>
      </w:r>
      <w:r>
        <w:t>5</w:t>
      </w:r>
      <w:r>
        <w:t xml:space="preserve"> году субсидий </w:t>
      </w:r>
      <w:r>
        <w:t xml:space="preserve">субъектам </w:t>
      </w:r>
      <w:r>
        <w:br/>
      </w:r>
      <w:r>
        <w:t>малого предпринима</w:t>
      </w:r>
      <w:r>
        <w:t>тельства в сфере промышленности</w:t>
      </w:r>
      <w:r>
        <w:t xml:space="preserve"> в Санкт-Петербурге в целях </w:t>
      </w:r>
      <w:r>
        <w:br/>
      </w:r>
      <w:r>
        <w:t xml:space="preserve">возмещения части затрат, связанных </w:t>
      </w:r>
      <w:r>
        <w:t>с подготовкой, переподготовкой и повышением квалификации кадров</w:t>
      </w:r>
      <w:r>
        <w:t xml:space="preserve">, утвержденным постановлением Правительства Санкт-Петербурга </w:t>
      </w:r>
      <w:r>
        <w:br/>
      </w:r>
      <w:r>
        <w:t>от __</w:t>
      </w:r>
      <w:r>
        <w:t>_</w:t>
      </w:r>
      <w:r>
        <w:t>___ № _</w:t>
      </w:r>
      <w:r>
        <w:t>_</w:t>
      </w:r>
      <w:r>
        <w:t>_</w:t>
      </w:r>
      <w:r>
        <w:t>_</w:t>
      </w:r>
      <w:r>
        <w:t xml:space="preserve">__ (далее – Порядок), </w:t>
      </w:r>
    </w:p>
    <w:p w14:paraId="3F010000">
      <w:pPr>
        <w:widowControl w:val="1"/>
        <w:ind/>
        <w:jc w:val="both"/>
      </w:pPr>
      <w:r>
        <w:t>_________________________</w:t>
      </w:r>
      <w:r>
        <w:t>_____</w:t>
      </w:r>
      <w:r>
        <w:t>__</w:t>
      </w:r>
      <w:r>
        <w:t>__</w:t>
      </w:r>
      <w:r>
        <w:t>_____________</w:t>
      </w:r>
      <w:r>
        <w:t>______________________________</w:t>
      </w:r>
    </w:p>
    <w:p w14:paraId="40010000">
      <w:pPr>
        <w:widowControl w:val="1"/>
        <w:ind/>
        <w:jc w:val="center"/>
        <w:rPr>
          <w:sz w:val="20"/>
        </w:rPr>
      </w:pPr>
      <w:r>
        <w:rPr>
          <w:sz w:val="20"/>
        </w:rPr>
        <w:t>(</w:t>
      </w:r>
      <w:r>
        <w:rPr>
          <w:sz w:val="20"/>
        </w:rPr>
        <w:t xml:space="preserve">Аббревиатура «ИП» и фамилия, имя, отчество (при наличии) индивидуального </w:t>
      </w:r>
      <w:r>
        <w:rPr>
          <w:sz w:val="20"/>
        </w:rPr>
        <w:br/>
      </w:r>
      <w:r>
        <w:rPr>
          <w:sz w:val="20"/>
        </w:rPr>
        <w:t>предпринимателя/п</w:t>
      </w:r>
      <w:r>
        <w:rPr>
          <w:sz w:val="20"/>
        </w:rPr>
        <w:t xml:space="preserve">олное наименование </w:t>
      </w:r>
      <w:r>
        <w:rPr>
          <w:sz w:val="20"/>
        </w:rPr>
        <w:t>организации</w:t>
      </w:r>
      <w:r>
        <w:rPr>
          <w:sz w:val="20"/>
        </w:rPr>
        <w:t xml:space="preserve"> в соответствии с учредительными документами)</w:t>
      </w:r>
    </w:p>
    <w:p w14:paraId="41010000">
      <w:pPr>
        <w:widowControl w:val="1"/>
        <w:ind/>
        <w:jc w:val="center"/>
        <w:rPr>
          <w:sz w:val="20"/>
        </w:rPr>
      </w:pPr>
    </w:p>
    <w:p w14:paraId="42010000">
      <w:pPr>
        <w:widowControl w:val="1"/>
        <w:ind/>
        <w:jc w:val="both"/>
      </w:pPr>
      <w:r>
        <w:t>(далее – Заявитель</w:t>
      </w:r>
      <w:r>
        <w:t>)</w:t>
      </w:r>
      <w:r>
        <w:t>,</w:t>
      </w:r>
      <w:r>
        <w:t xml:space="preserve"> являясь </w:t>
      </w:r>
      <w:r>
        <w:t>субъекто</w:t>
      </w:r>
      <w:r>
        <w:t>м малого предпринимат</w:t>
      </w:r>
      <w:r>
        <w:t xml:space="preserve">ельства в сфере промышленности </w:t>
      </w:r>
      <w:r>
        <w:t>в Санкт-Петербурге</w:t>
      </w:r>
      <w:r>
        <w:t>,</w:t>
      </w:r>
      <w:r>
        <w:t xml:space="preserve"> </w:t>
      </w:r>
      <w:r>
        <w:t>просит предоставить в 202</w:t>
      </w:r>
      <w:r>
        <w:t>5</w:t>
      </w:r>
      <w:r>
        <w:t xml:space="preserve"> году субсидию</w:t>
      </w:r>
      <w:r>
        <w:t xml:space="preserve"> в целях возмещения части затрат,</w:t>
      </w:r>
      <w:r>
        <w:t xml:space="preserve"> связанных </w:t>
      </w:r>
      <w:r>
        <w:t>подготовкой, переподготовкой и повышением квалификации кадров</w:t>
      </w:r>
      <w:r>
        <w:t xml:space="preserve"> </w:t>
      </w:r>
      <w:r>
        <w:t xml:space="preserve">(далее – субсидия), </w:t>
      </w:r>
      <w:r>
        <w:t>в размере:</w:t>
      </w:r>
    </w:p>
    <w:p w14:paraId="43010000">
      <w:pPr>
        <w:widowControl w:val="1"/>
        <w:ind/>
        <w:jc w:val="both"/>
      </w:pPr>
      <w:r>
        <w:t xml:space="preserve"> ______________ (___________________________________)</w:t>
      </w:r>
      <w:r>
        <w:rPr>
          <w:vertAlign w:val="superscript"/>
        </w:rPr>
        <w:t xml:space="preserve"> </w:t>
      </w:r>
      <w:r>
        <w:t>руб</w:t>
      </w:r>
      <w:r>
        <w:t>.</w:t>
      </w:r>
      <w:r>
        <w:t xml:space="preserve"> ____ коп.</w:t>
      </w:r>
    </w:p>
    <w:p w14:paraId="44010000">
      <w:pPr>
        <w:widowControl w:val="1"/>
        <w:ind/>
        <w:jc w:val="both"/>
      </w:pPr>
      <w:r>
        <w:rPr>
          <w:sz w:val="28"/>
          <w:vertAlign w:val="superscript"/>
        </w:rPr>
        <w:t xml:space="preserve">           (</w:t>
      </w:r>
      <w:r>
        <w:rPr>
          <w:sz w:val="28"/>
          <w:vertAlign w:val="superscript"/>
        </w:rPr>
        <w:t>Ц</w:t>
      </w:r>
      <w:r>
        <w:rPr>
          <w:sz w:val="28"/>
          <w:vertAlign w:val="superscript"/>
        </w:rPr>
        <w:t xml:space="preserve">ифрами)                                         </w:t>
      </w:r>
      <w:r>
        <w:rPr>
          <w:sz w:val="28"/>
          <w:vertAlign w:val="superscript"/>
        </w:rPr>
        <w:t xml:space="preserve">   </w:t>
      </w:r>
      <w:r>
        <w:rPr>
          <w:sz w:val="28"/>
          <w:vertAlign w:val="superscript"/>
        </w:rPr>
        <w:t xml:space="preserve">  (</w:t>
      </w:r>
      <w:r>
        <w:rPr>
          <w:sz w:val="28"/>
          <w:vertAlign w:val="superscript"/>
        </w:rPr>
        <w:t>П</w:t>
      </w:r>
      <w:r>
        <w:rPr>
          <w:sz w:val="28"/>
          <w:vertAlign w:val="superscript"/>
        </w:rPr>
        <w:t>рописью)</w:t>
      </w:r>
    </w:p>
    <w:p w14:paraId="45010000">
      <w:pPr>
        <w:widowControl w:val="1"/>
        <w:ind/>
        <w:jc w:val="center"/>
        <w:rPr>
          <w:sz w:val="12"/>
        </w:rPr>
      </w:pPr>
    </w:p>
    <w:p w14:paraId="46010000">
      <w:r>
        <w:t xml:space="preserve">Заявитель представляет следующие документы: </w:t>
      </w:r>
    </w:p>
    <w:tbl>
      <w:tblPr>
        <w:tblStyle w:val="Style_10"/>
        <w:tblW w:type="auto" w:w="0"/>
        <w:tblInd w:type="dxa" w:w="-43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45"/>
        <w:gridCol w:w="7044"/>
        <w:gridCol w:w="1555"/>
      </w:tblGrid>
      <w:tr>
        <w:trPr>
          <w:trHeight w:hRule="atLeast" w:val="88"/>
        </w:trPr>
        <w:tc>
          <w:tcPr>
            <w:tcW w:type="dxa" w:w="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7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№ </w:t>
            </w:r>
          </w:p>
          <w:p w14:paraId="48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п/п</w:t>
            </w:r>
          </w:p>
        </w:tc>
        <w:tc>
          <w:tcPr>
            <w:tcW w:type="dxa" w:w="7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9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Наименование документа</w:t>
            </w:r>
          </w:p>
        </w:tc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A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Количество листов</w:t>
            </w:r>
          </w:p>
        </w:tc>
      </w:tr>
      <w:tr>
        <w:trPr>
          <w:trHeight w:hRule="atLeast" w:val="15"/>
        </w:trPr>
        <w:tc>
          <w:tcPr>
            <w:tcW w:type="dxa" w:w="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type="dxa" w:w="7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</w:tr>
      <w:tr>
        <w:trPr>
          <w:trHeight w:hRule="atLeast" w:val="15"/>
        </w:trPr>
        <w:tc>
          <w:tcPr>
            <w:tcW w:type="dxa" w:w="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widowControl w:val="1"/>
              <w:ind/>
              <w:jc w:val="both"/>
              <w:rPr>
                <w:sz w:val="20"/>
              </w:rPr>
            </w:pPr>
          </w:p>
        </w:tc>
        <w:tc>
          <w:tcPr>
            <w:tcW w:type="dxa" w:w="7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pPr>
              <w:widowControl w:val="1"/>
              <w:ind/>
              <w:jc w:val="both"/>
              <w:rPr>
                <w:sz w:val="20"/>
              </w:rPr>
            </w:pPr>
          </w:p>
        </w:tc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pPr>
              <w:widowControl w:val="1"/>
              <w:ind/>
              <w:jc w:val="both"/>
              <w:rPr>
                <w:sz w:val="20"/>
              </w:rPr>
            </w:pPr>
          </w:p>
        </w:tc>
      </w:tr>
    </w:tbl>
    <w:p w14:paraId="51010000">
      <w:pPr>
        <w:widowControl w:val="0"/>
        <w:spacing w:before="90"/>
        <w:ind w:left="302" w:right="18"/>
        <w:jc w:val="center"/>
      </w:pPr>
      <w:r>
        <w:rPr>
          <w:sz w:val="20"/>
        </w:rPr>
        <w:t xml:space="preserve">(Указываются документы в соответствии с </w:t>
      </w:r>
      <w:r>
        <w:rPr>
          <w:sz w:val="20"/>
        </w:rPr>
        <w:fldChar w:fldCharType="begin"/>
      </w:r>
      <w:r>
        <w:rPr>
          <w:sz w:val="20"/>
        </w:rPr>
        <w:instrText>HYPERLINK "consultantplus://offline/ref=860B875AF399BFB74A90302B861893C8FA60260C5C622D0F950FA34C46392CBC52866A842A1F078AE43E9CF86C393B35A1AA06726BFD8BEAPBH1Q"</w:instrText>
      </w:r>
      <w:r>
        <w:rPr>
          <w:sz w:val="20"/>
        </w:rPr>
        <w:fldChar w:fldCharType="separate"/>
      </w:r>
      <w:r>
        <w:rPr>
          <w:sz w:val="20"/>
        </w:rPr>
        <w:t>приложением № 2</w:t>
      </w:r>
      <w:r>
        <w:rPr>
          <w:sz w:val="20"/>
        </w:rPr>
        <w:fldChar w:fldCharType="end"/>
      </w:r>
      <w:r>
        <w:rPr>
          <w:sz w:val="20"/>
        </w:rPr>
        <w:t xml:space="preserve"> к Порядку)</w:t>
      </w:r>
    </w:p>
    <w:p w14:paraId="52010000">
      <w:pPr>
        <w:widowControl w:val="0"/>
        <w:ind w:left="302" w:right="18"/>
      </w:pPr>
    </w:p>
    <w:p w14:paraId="53010000">
      <w:pPr>
        <w:widowControl w:val="0"/>
        <w:ind w:left="302" w:right="18"/>
        <w:jc w:val="center"/>
      </w:pPr>
    </w:p>
    <w:p w14:paraId="54010000">
      <w:pPr>
        <w:widowControl w:val="0"/>
        <w:ind w:left="302" w:right="18"/>
        <w:jc w:val="center"/>
      </w:pPr>
      <w:r>
        <w:t>Сведения о заявителе</w:t>
      </w:r>
      <w:r>
        <w:t>:</w:t>
      </w:r>
    </w:p>
    <w:p w14:paraId="55010000">
      <w:pPr>
        <w:widowControl w:val="0"/>
        <w:ind w:left="302" w:right="18"/>
        <w:jc w:val="center"/>
      </w:pPr>
    </w:p>
    <w:tbl>
      <w:tblPr>
        <w:tblStyle w:val="Style_10"/>
        <w:tblW w:type="auto" w:w="0"/>
        <w:tblLayout w:type="fixed"/>
        <w:tblCellMar>
          <w:left w:type="dxa" w:w="0"/>
          <w:right w:type="dxa" w:w="0"/>
        </w:tblCellMar>
      </w:tblPr>
      <w:tblGrid>
        <w:gridCol w:w="9522"/>
      </w:tblGrid>
      <w:tr>
        <w:trPr>
          <w:trHeight w:hRule="atLeast" w:val="4057"/>
        </w:trPr>
        <w:tc>
          <w:tcPr>
            <w:tcW w:type="dxa" w:w="9522"/>
            <w:tcMar>
              <w:left w:type="dxa" w:w="0"/>
              <w:right w:type="dxa" w:w="0"/>
            </w:tcMar>
          </w:tcPr>
          <w:p w14:paraId="56010000">
            <w:pPr>
              <w:pStyle w:val="Style_4"/>
              <w:widowControl w:val="1"/>
              <w:numPr>
                <w:ilvl w:val="0"/>
                <w:numId w:val="9"/>
              </w:numPr>
              <w:ind w:firstLine="0" w:left="0"/>
              <w:jc w:val="both"/>
            </w:pPr>
            <w:r>
              <w:t>ИНН</w:t>
            </w:r>
            <w:r>
              <w:t>/КПП:_</w:t>
            </w:r>
            <w:r>
              <w:t>______________________________</w:t>
            </w:r>
            <w:r>
              <w:t>/</w:t>
            </w:r>
            <w:r>
              <w:t>_____</w:t>
            </w:r>
            <w:r>
              <w:t>_______________________</w:t>
            </w:r>
            <w:r>
              <w:t>____</w:t>
            </w:r>
          </w:p>
          <w:p w14:paraId="57010000">
            <w:pPr>
              <w:pStyle w:val="Style_4"/>
              <w:widowControl w:val="1"/>
              <w:numPr>
                <w:ilvl w:val="0"/>
                <w:numId w:val="9"/>
              </w:numPr>
              <w:ind w:firstLine="0" w:left="0"/>
              <w:jc w:val="both"/>
            </w:pPr>
            <w:r>
              <w:t>ОГРН</w:t>
            </w:r>
            <w:r>
              <w:t>/ОГРНИП: __________________________</w:t>
            </w:r>
            <w:r>
              <w:t>___</w:t>
            </w:r>
            <w:r>
              <w:t>_______________________</w:t>
            </w:r>
            <w:r>
              <w:t>_____</w:t>
            </w:r>
            <w:r>
              <w:t>_</w:t>
            </w:r>
          </w:p>
          <w:p w14:paraId="58010000">
            <w:pPr>
              <w:pStyle w:val="Style_4"/>
              <w:widowControl w:val="1"/>
              <w:numPr>
                <w:ilvl w:val="0"/>
                <w:numId w:val="9"/>
              </w:numPr>
              <w:ind w:firstLine="0" w:left="0"/>
              <w:jc w:val="both"/>
            </w:pPr>
            <w:r>
              <w:t>Место нахождения (ю</w:t>
            </w:r>
            <w:r>
              <w:t>ридический адрес</w:t>
            </w:r>
            <w:r>
              <w:t xml:space="preserve">) (для юридического лица), адрес регистрации по месту жительства (для индивидуального предпринимателя): </w:t>
            </w:r>
            <w:r>
              <w:t>______________________</w:t>
            </w:r>
            <w:r>
              <w:t>_</w:t>
            </w:r>
            <w:r>
              <w:t>_</w:t>
            </w:r>
          </w:p>
          <w:p w14:paraId="59010000">
            <w:pPr>
              <w:pStyle w:val="Style_4"/>
              <w:widowControl w:val="1"/>
              <w:numPr>
                <w:ilvl w:val="0"/>
                <w:numId w:val="9"/>
              </w:numPr>
              <w:ind w:firstLine="0" w:left="0"/>
              <w:jc w:val="both"/>
            </w:pPr>
            <w:r>
              <w:t xml:space="preserve">Фактический адрес, район СПб: </w:t>
            </w:r>
            <w:r>
              <w:t>_____________________________</w:t>
            </w:r>
            <w:r>
              <w:t>________________</w:t>
            </w:r>
          </w:p>
          <w:p w14:paraId="5A010000">
            <w:pPr>
              <w:pStyle w:val="Style_4"/>
              <w:widowControl w:val="1"/>
              <w:numPr>
                <w:ilvl w:val="0"/>
                <w:numId w:val="9"/>
              </w:numPr>
              <w:ind w:firstLine="0" w:left="0"/>
              <w:jc w:val="both"/>
            </w:pPr>
            <w:r>
              <w:t>Контактный телефон, факс (при наличии): ____________________________________</w:t>
            </w:r>
          </w:p>
          <w:p w14:paraId="5B010000">
            <w:pPr>
              <w:pStyle w:val="Style_4"/>
              <w:widowControl w:val="1"/>
              <w:numPr>
                <w:ilvl w:val="0"/>
                <w:numId w:val="9"/>
              </w:numPr>
              <w:ind w:firstLine="0" w:left="0"/>
              <w:jc w:val="both"/>
            </w:pPr>
            <w:r>
              <w:t>Контактное лицо (Ф.И.О., должность, телефон): _______________________________</w:t>
            </w:r>
          </w:p>
          <w:p w14:paraId="5C010000">
            <w:pPr>
              <w:pStyle w:val="Style_4"/>
              <w:widowControl w:val="1"/>
              <w:numPr>
                <w:ilvl w:val="0"/>
                <w:numId w:val="9"/>
              </w:numPr>
              <w:ind w:firstLine="0" w:left="0"/>
              <w:jc w:val="both"/>
            </w:pPr>
            <w:r>
              <w:t>Адрес электронной почты: __________________________________________________</w:t>
            </w:r>
          </w:p>
          <w:p w14:paraId="5D010000">
            <w:pPr>
              <w:pStyle w:val="Style_4"/>
              <w:widowControl w:val="1"/>
              <w:numPr>
                <w:ilvl w:val="0"/>
                <w:numId w:val="9"/>
              </w:numPr>
              <w:ind w:firstLine="0" w:left="0"/>
              <w:jc w:val="both"/>
            </w:pPr>
            <w:r>
              <w:t xml:space="preserve">Основной вид деятельности организации в соответствии с ОКВЭД ОК 029-2014 </w:t>
            </w:r>
            <w:r>
              <w:br/>
            </w:r>
            <w:r>
              <w:t>(КДЕС Ред.2)</w:t>
            </w:r>
            <w:r>
              <w:t>:___________________________________________________________________</w:t>
            </w:r>
          </w:p>
          <w:p w14:paraId="5E010000">
            <w:pPr>
              <w:pStyle w:val="Style_4"/>
              <w:widowControl w:val="1"/>
              <w:numPr>
                <w:ilvl w:val="0"/>
                <w:numId w:val="9"/>
              </w:numPr>
              <w:ind w:firstLine="0" w:left="0"/>
              <w:jc w:val="both"/>
            </w:pPr>
            <w:r>
              <w:t xml:space="preserve">Дополнительные виды деятельности, относящиеся в соответствии </w:t>
            </w:r>
            <w:r>
              <w:br/>
            </w:r>
            <w:r>
              <w:t>с ОКВЭД ОК 029-2014 (КДЕС Ред.2)</w:t>
            </w:r>
            <w:r>
              <w:t xml:space="preserve"> </w:t>
            </w:r>
            <w:r>
              <w:t>к разделу С «Обрабатывающие производства»</w:t>
            </w:r>
            <w:r>
              <w:t>:</w:t>
            </w:r>
            <w:r>
              <w:t>__________________________</w:t>
            </w:r>
            <w:r>
              <w:t>______________________________________</w:t>
            </w:r>
            <w:r>
              <w:t>__</w:t>
            </w:r>
          </w:p>
        </w:tc>
      </w:tr>
    </w:tbl>
    <w:p w14:paraId="5F010000">
      <w:pPr>
        <w:widowControl w:val="1"/>
        <w:ind w:firstLine="567"/>
        <w:jc w:val="both"/>
        <w:rPr>
          <w:i w:val="1"/>
        </w:rPr>
      </w:pPr>
      <w:r>
        <w:t xml:space="preserve">Заявитель: </w:t>
      </w:r>
    </w:p>
    <w:p w14:paraId="60010000">
      <w:pPr>
        <w:pStyle w:val="Style_4"/>
        <w:widowControl w:val="1"/>
        <w:numPr>
          <w:ilvl w:val="0"/>
          <w:numId w:val="10"/>
        </w:numPr>
        <w:ind w:firstLine="567" w:left="0"/>
        <w:jc w:val="both"/>
      </w:pPr>
      <w:r>
        <w:t>п</w:t>
      </w:r>
      <w:r>
        <w:t>одтверждает, что:</w:t>
      </w:r>
    </w:p>
    <w:p w14:paraId="61010000">
      <w:pPr>
        <w:widowControl w:val="1"/>
        <w:ind w:firstLine="567"/>
        <w:jc w:val="both"/>
      </w:pPr>
      <w:r>
        <w:rPr>
          <w:u w:val="single"/>
        </w:rPr>
        <w:t xml:space="preserve">на день подачи настоящей Заявки соответствует следующим требованиям </w:t>
      </w:r>
      <w:r>
        <w:rPr>
          <w:u w:val="single"/>
        </w:rPr>
        <w:br/>
      </w:r>
      <w:r>
        <w:rPr>
          <w:u w:val="single"/>
        </w:rPr>
        <w:t>к участникам отбора</w:t>
      </w:r>
      <w:r>
        <w:t>:</w:t>
      </w:r>
    </w:p>
    <w:p w14:paraId="62010000">
      <w:pPr>
        <w:widowControl w:val="1"/>
        <w:ind w:firstLine="567"/>
        <w:jc w:val="both"/>
      </w:pPr>
      <w: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</w:t>
      </w:r>
      <w:r>
        <w:t xml:space="preserve"> Федерации (далее – офшорные компании), а также российским юридическим лицом, </w:t>
      </w:r>
      <w:r>
        <w:br/>
      </w:r>
      <w: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>
        <w:br/>
      </w:r>
      <w:r>
        <w:t>не предусмотрено законодательством Российской Федерации);</w:t>
      </w:r>
    </w:p>
    <w:p w14:paraId="63010000">
      <w:pPr>
        <w:widowControl w:val="1"/>
        <w:ind w:firstLine="567"/>
        <w:jc w:val="both"/>
      </w:pPr>
      <w:r>
        <w:t>не находится в перечне организаций и физических лиц, в отношении которых имеются сведения об их причастности</w:t>
      </w:r>
      <w:r>
        <w:t xml:space="preserve"> к экстремистской деятельности </w:t>
      </w:r>
      <w:r>
        <w:t>или терроризму;</w:t>
      </w:r>
    </w:p>
    <w:p w14:paraId="64010000">
      <w:pPr>
        <w:widowControl w:val="1"/>
        <w:ind w:firstLine="567"/>
        <w:jc w:val="both"/>
      </w:pPr>
      <w:r>
        <w:t xml:space="preserve">не находится в составляемых в рамках реализации полномочий, предусмотренных </w:t>
      </w:r>
      <w:r>
        <w:br/>
      </w:r>
      <w:r>
        <w:t xml:space="preserve">в </w:t>
      </w:r>
      <w:r>
        <w:t>глав</w:t>
      </w:r>
      <w:r>
        <w:t>е</w:t>
      </w:r>
      <w:r>
        <w:t xml:space="preserve"> VII Устава ООН, Советом Безопасности ООН или органами, специально созданными решениями Совета Безопасн</w:t>
      </w:r>
      <w:r>
        <w:t xml:space="preserve">ости ООН, перечнях организаций </w:t>
      </w:r>
      <w:r>
        <w:br/>
      </w:r>
      <w:r>
        <w:t>и физических лиц, связанных с террористическим</w:t>
      </w:r>
      <w:r>
        <w:t xml:space="preserve">и организациями и террористами </w:t>
      </w:r>
      <w:r>
        <w:br/>
      </w:r>
      <w:r>
        <w:t>или с распространением оружия массового уничтожения;</w:t>
      </w:r>
    </w:p>
    <w:p w14:paraId="65010000">
      <w:pPr>
        <w:widowControl w:val="1"/>
        <w:ind w:firstLine="567"/>
        <w:jc w:val="both"/>
      </w:pPr>
      <w:r>
        <w:t>не получал и не получает средст</w:t>
      </w:r>
      <w:r>
        <w:t xml:space="preserve">ва из бюджета Санкт-Петербурга </w:t>
      </w:r>
      <w:r>
        <w:t xml:space="preserve">на основании </w:t>
      </w:r>
      <w:r>
        <w:br/>
      </w:r>
      <w:r>
        <w:t xml:space="preserve">иных нормативных правовых актов Санкт-Петербурга на цели, установленные </w:t>
      </w:r>
      <w:r>
        <w:br/>
      </w:r>
      <w:r>
        <w:t>в пункте 1.4</w:t>
      </w:r>
      <w:r>
        <w:t xml:space="preserve"> Порядка;</w:t>
      </w:r>
    </w:p>
    <w:p w14:paraId="66010000">
      <w:pPr>
        <w:widowControl w:val="1"/>
        <w:ind w:firstLine="567"/>
        <w:jc w:val="both"/>
      </w:pPr>
      <w:r>
        <w:t xml:space="preserve">не является иностранным агентом в соответствии с Федеральным законом </w:t>
      </w:r>
      <w:r>
        <w:br/>
      </w:r>
      <w:r>
        <w:t>«О контроле за деятельностью лиц, находящихся под иностранным влиянием»;</w:t>
      </w:r>
    </w:p>
    <w:p w14:paraId="67010000">
      <w:pPr>
        <w:widowControl w:val="1"/>
        <w:ind w:firstLine="567"/>
        <w:jc w:val="both"/>
      </w:pPr>
      <w:r>
        <w:t>не нахо</w:t>
      </w:r>
      <w:r>
        <w:t>дится в процессе реорганизации</w:t>
      </w:r>
      <w:r>
        <w:rPr>
          <w:rStyle w:val="Style_11_ch"/>
        </w:rPr>
        <w:footnoteReference w:id="1"/>
      </w:r>
      <w:r>
        <w:t>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14:paraId="68010000">
      <w:pPr>
        <w:widowControl w:val="0"/>
        <w:tabs>
          <w:tab w:leader="none" w:pos="1276" w:val="left"/>
        </w:tabs>
        <w:ind w:firstLine="567"/>
        <w:contextualSpacing w:val="1"/>
        <w:jc w:val="both"/>
      </w:pPr>
      <w:r>
        <w:t xml:space="preserve">осуществляет на территории Санкт-Петербурга </w:t>
      </w:r>
      <w:r>
        <w:t>хозяйственную деятельность</w:t>
      </w:r>
      <w:r>
        <w:br/>
      </w:r>
      <w:r>
        <w:t xml:space="preserve">в соответствии </w:t>
      </w:r>
      <w:r>
        <w:t xml:space="preserve">с видами деятельности, указанными в едином государственном </w:t>
      </w:r>
      <w:r>
        <w:br/>
      </w:r>
      <w:r>
        <w:t>реестре индивидуальных предпринимателей (далее – ЕГРИП) (для индивидуальных предпринимателей)</w:t>
      </w:r>
      <w:r>
        <w:t>,</w:t>
      </w:r>
      <w:r>
        <w:t xml:space="preserve"> либо</w:t>
      </w:r>
      <w:r>
        <w:t xml:space="preserve"> со своим уставом</w:t>
      </w:r>
      <w:r>
        <w:t xml:space="preserve"> (для юридических лиц)</w:t>
      </w:r>
      <w:r>
        <w:t>;</w:t>
      </w:r>
    </w:p>
    <w:p w14:paraId="69010000">
      <w:pPr>
        <w:widowControl w:val="1"/>
        <w:ind w:firstLine="567"/>
        <w:jc w:val="both"/>
      </w:pPr>
      <w: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>
        <w:br/>
      </w:r>
      <w:r>
        <w:t>в сфере закупок товаров, работ, услуг для обеспечения государственных и муниципальных нужд», отсутствует информация о Заявителе;</w:t>
      </w:r>
    </w:p>
    <w:p w14:paraId="6A010000">
      <w:pPr>
        <w:widowControl w:val="1"/>
        <w:ind w:firstLine="567"/>
        <w:jc w:val="both"/>
      </w:pPr>
      <w:r>
        <w:t xml:space="preserve">в реестре дисквалифицированных лиц отсутствуют сведения </w:t>
      </w:r>
      <w:r>
        <w:br/>
      </w:r>
      <w:r>
        <w:t xml:space="preserve">о дисквалифицированных руководителе, членах коллегиального исполнительного органа, </w:t>
      </w:r>
      <w:r>
        <w:t xml:space="preserve">лице, исполняющем функции единоличного исполнительного органа, или главном бухгалтере </w:t>
      </w:r>
      <w:r>
        <w:t xml:space="preserve">(при наличии) </w:t>
      </w:r>
      <w:r>
        <w:t>Заявителя;</w:t>
      </w:r>
    </w:p>
    <w:p w14:paraId="6B010000">
      <w:pPr>
        <w:widowControl w:val="1"/>
        <w:ind w:firstLine="567"/>
        <w:jc w:val="both"/>
      </w:pPr>
      <w:r>
        <w:t xml:space="preserve">не имеет нарушений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</w:t>
      </w:r>
      <w:r>
        <w:br/>
      </w:r>
      <w:r>
        <w:t xml:space="preserve">из бюджета Санкт-Петербурга, при использовании денежных средств, предоставляемых </w:t>
      </w:r>
      <w:r>
        <w:br/>
      </w:r>
      <w:r>
        <w:t xml:space="preserve">из бюджета Санкт-Петербурга, за период не менее одного календарного года, предшествующего году получения субсидии, по которым не исполнены требования </w:t>
      </w:r>
      <w:r>
        <w:br/>
      </w:r>
      <w:r>
        <w:t xml:space="preserve">о возврате средств </w:t>
      </w:r>
      <w:r>
        <w:t>бюджета</w:t>
      </w:r>
      <w:r>
        <w:t xml:space="preserve"> Санкт-Петербурга </w:t>
      </w:r>
      <w:r>
        <w:t>и</w:t>
      </w:r>
      <w:r>
        <w:t>(или)</w:t>
      </w:r>
      <w:r>
        <w:t xml:space="preserve"> вступило в силу постановление </w:t>
      </w:r>
      <w:r>
        <w:br/>
      </w:r>
      <w:r>
        <w:t>о назначении административного наказания;</w:t>
      </w:r>
    </w:p>
    <w:p w14:paraId="6C010000">
      <w:pPr>
        <w:widowControl w:val="1"/>
        <w:ind w:firstLine="567"/>
        <w:jc w:val="both"/>
        <w:rPr>
          <w:u w:val="single"/>
        </w:rPr>
      </w:pPr>
      <w:r>
        <w:rPr>
          <w:u w:val="single"/>
        </w:rPr>
        <w:t>на дату не ранее 30 календарных дней до даты подачи настоящей заявки</w:t>
      </w:r>
      <w:r>
        <w:rPr>
          <w:u w:val="single"/>
        </w:rPr>
        <w:t xml:space="preserve">: </w:t>
      </w:r>
    </w:p>
    <w:p w14:paraId="6D010000">
      <w:pPr>
        <w:widowControl w:val="1"/>
        <w:ind w:firstLine="567"/>
        <w:jc w:val="both"/>
      </w:pPr>
      <w:r>
        <w:t>не имеет на едином</w:t>
      </w:r>
      <w:r>
        <w:t xml:space="preserve"> налоговом счете задолженности по уплате налогов, сборов </w:t>
      </w:r>
      <w:r>
        <w:br/>
      </w:r>
      <w:r>
        <w:t xml:space="preserve">и страховых взносов в бюджеты бюджетной системы Российской Федерации </w:t>
      </w:r>
      <w:r>
        <w:br/>
      </w:r>
      <w:r>
        <w:t>или ее размер не превышает размер, определенный в пункте 3 статьи 47 Налогового кодекса Российской Федерации;</w:t>
      </w:r>
    </w:p>
    <w:p w14:paraId="6E010000">
      <w:pPr>
        <w:widowControl w:val="1"/>
        <w:ind w:firstLine="567"/>
        <w:jc w:val="both"/>
      </w:pPr>
      <w:r>
        <w:rPr>
          <w:u w:val="single"/>
        </w:rPr>
        <w:t>на дату не ранее 30 календарных дней до 1 числа месяца, в котором планируется проведение отбора</w:t>
      </w:r>
      <w:r>
        <w:t xml:space="preserve">: </w:t>
      </w:r>
    </w:p>
    <w:p w14:paraId="6F010000">
      <w:pPr>
        <w:widowControl w:val="1"/>
        <w:ind w:firstLine="567"/>
        <w:jc w:val="both"/>
      </w:pPr>
      <w:r>
        <w:t xml:space="preserve">не имеет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 или ее размер </w:t>
      </w:r>
      <w:r>
        <w:br/>
      </w:r>
      <w:r>
        <w:t xml:space="preserve">не превышает 1 процента от суммы субсидии, полученной участником отбора в 2024 году </w:t>
      </w:r>
      <w:r>
        <w:br/>
      </w:r>
      <w:r>
        <w:t>на цели, предусмотренные правовым актом Санкт-Петербурга;</w:t>
      </w:r>
    </w:p>
    <w:p w14:paraId="70010000">
      <w:pPr>
        <w:widowControl w:val="1"/>
        <w:ind w:firstLine="567"/>
        <w:jc w:val="both"/>
      </w:pPr>
      <w:r>
        <w:rPr>
          <w:u w:val="single"/>
        </w:rPr>
        <w:t>также соответствует следующим требованиям к участникам отбора и условиям предоставления субсидий</w:t>
      </w:r>
      <w:r>
        <w:t>:</w:t>
      </w:r>
    </w:p>
    <w:p w14:paraId="71010000">
      <w:pPr>
        <w:widowControl w:val="1"/>
        <w:ind w:firstLine="567"/>
        <w:jc w:val="both"/>
      </w:pPr>
      <w:r>
        <w:t xml:space="preserve">соответствует категории, </w:t>
      </w:r>
      <w:r>
        <w:t xml:space="preserve">установленной в </w:t>
      </w:r>
      <w:r>
        <w:fldChar w:fldCharType="begin"/>
      </w:r>
      <w:r>
        <w:instrText>HYPERLINK "consultantplus://offline/ref=7F1F67A3320EF0B1B017A2F264C181D15728F812EA8369A7E16FA927B9F629B44444D1B1A86387EFC077170FF58479DD58A3060819B50BA6j67BG"</w:instrText>
      </w:r>
      <w:r>
        <w:fldChar w:fldCharType="separate"/>
      </w:r>
      <w:r>
        <w:t>пункте 1.</w:t>
      </w:r>
      <w:r>
        <w:fldChar w:fldCharType="end"/>
      </w:r>
      <w:r>
        <w:t>4</w:t>
      </w:r>
      <w:r>
        <w:t xml:space="preserve"> Порядка;</w:t>
      </w:r>
    </w:p>
    <w:p w14:paraId="72010000">
      <w:pPr>
        <w:widowControl w:val="1"/>
        <w:ind w:firstLine="567"/>
        <w:jc w:val="both"/>
      </w:pPr>
      <w:r>
        <w:t xml:space="preserve">затраты, на возмещение которых </w:t>
      </w:r>
      <w:r>
        <w:t xml:space="preserve">Заявитель </w:t>
      </w:r>
      <w:r>
        <w:t xml:space="preserve">претендует за счет средств субсидии, понесены </w:t>
      </w:r>
      <w:r>
        <w:t xml:space="preserve">им в </w:t>
      </w:r>
      <w:r>
        <w:t xml:space="preserve">период </w:t>
      </w:r>
      <w:r>
        <w:t>с 01.</w:t>
      </w:r>
      <w:r>
        <w:t>07.2024</w:t>
      </w:r>
      <w:r>
        <w:t xml:space="preserve"> по </w:t>
      </w:r>
      <w:r>
        <w:t>30.06.2025</w:t>
      </w:r>
      <w:r>
        <w:t xml:space="preserve"> (далее </w:t>
      </w:r>
      <w:r>
        <w:t>–</w:t>
      </w:r>
      <w:r>
        <w:t xml:space="preserve"> </w:t>
      </w:r>
      <w:r>
        <w:t>период возникновения затрат), соответствуют направлен</w:t>
      </w:r>
      <w:r>
        <w:rPr>
          <w:color w:themeColor="text1" w:val="000000"/>
        </w:rPr>
        <w:t>ию</w:t>
      </w:r>
      <w:r>
        <w:t xml:space="preserve">, </w:t>
      </w:r>
      <w:r>
        <w:rPr>
          <w:color w:themeColor="text1" w:val="000000"/>
        </w:rPr>
        <w:t>определенному</w:t>
      </w:r>
      <w:r>
        <w:t xml:space="preserve"> </w:t>
      </w:r>
      <w:r>
        <w:t xml:space="preserve">в пункте </w:t>
      </w:r>
      <w:r>
        <w:t>1.</w:t>
      </w:r>
      <w:r>
        <w:t>7</w:t>
      </w:r>
      <w:r>
        <w:t xml:space="preserve"> Порядка, </w:t>
      </w:r>
      <w:r>
        <w:t>и документально подтверждены;</w:t>
      </w:r>
    </w:p>
    <w:p w14:paraId="73010000">
      <w:pPr>
        <w:widowControl w:val="1"/>
        <w:ind w:firstLine="567"/>
        <w:jc w:val="both"/>
      </w:pPr>
      <w:r>
        <w:t xml:space="preserve">в период возникновения затрат Заявитель осуществлял на территории </w:t>
      </w:r>
      <w:r>
        <w:br/>
      </w:r>
      <w:r>
        <w:t>Санкт-Петербурга хозяйственную деятельность</w:t>
      </w:r>
      <w:r>
        <w:t xml:space="preserve"> </w:t>
      </w:r>
      <w:r>
        <w:t xml:space="preserve">в соответствии с видами деятельности, указанными в </w:t>
      </w:r>
      <w:r>
        <w:t>ЕГРИП</w:t>
      </w:r>
      <w:r>
        <w:t xml:space="preserve"> (для индивидуальных предпринимателей) либо со своим уставом </w:t>
      </w:r>
      <w:r>
        <w:br/>
      </w:r>
      <w:r>
        <w:t>и учредительными документами (для юридических лиц)</w:t>
      </w:r>
      <w:r>
        <w:t xml:space="preserve">, </w:t>
      </w:r>
      <w:r>
        <w:t xml:space="preserve">в том числе деятельность, </w:t>
      </w:r>
      <w:r>
        <w:t>указанную в пункте 1.4</w:t>
      </w:r>
      <w:r>
        <w:t xml:space="preserve"> Порядка;</w:t>
      </w:r>
    </w:p>
    <w:p w14:paraId="74010000">
      <w:pPr>
        <w:widowControl w:val="1"/>
        <w:ind w:firstLine="567"/>
        <w:jc w:val="both"/>
      </w:pPr>
      <w:r>
        <w:t xml:space="preserve">размер средней заработной платы каждого работника Заявителя </w:t>
      </w:r>
      <w:r>
        <w:t>(</w:t>
      </w:r>
      <w:r>
        <w:t xml:space="preserve">включая обособленные подразделения, находящиеся на территории Санкт-Петербурга – </w:t>
      </w:r>
      <w:r>
        <w:t>для юридических лиц</w:t>
      </w:r>
      <w:r>
        <w:t xml:space="preserve">), рассчитываемый </w:t>
      </w:r>
      <w:r>
        <w:t>в соответствии со статьей 139 Трудового кодекса Российской Федерации, был</w:t>
      </w:r>
      <w:r>
        <w:t xml:space="preserve"> </w:t>
      </w:r>
      <w:r>
        <w:t xml:space="preserve">в течение 2024 года </w:t>
      </w:r>
      <w:r>
        <w:t xml:space="preserve">не ниже размера минимальной заработной платы </w:t>
      </w:r>
      <w:r>
        <w:t>в Санкт-Петербурге</w:t>
      </w:r>
      <w:r>
        <w:t>, установленного региональным соглашением о минимальной заработной плате в Санкт-Петербурге</w:t>
      </w:r>
      <w:r>
        <w:t xml:space="preserve"> </w:t>
      </w:r>
      <w:r>
        <w:t xml:space="preserve">на соответствующий </w:t>
      </w:r>
      <w:r>
        <w:t>период</w:t>
      </w:r>
      <w:r>
        <w:t xml:space="preserve"> 202</w:t>
      </w:r>
      <w:r>
        <w:t>4</w:t>
      </w:r>
      <w:r>
        <w:t xml:space="preserve"> </w:t>
      </w:r>
      <w:r>
        <w:t>год</w:t>
      </w:r>
      <w:r>
        <w:t>а</w:t>
      </w:r>
      <w:r>
        <w:t>.</w:t>
      </w:r>
    </w:p>
    <w:p w14:paraId="75010000">
      <w:pPr>
        <w:pStyle w:val="Style_4"/>
        <w:widowControl w:val="1"/>
        <w:numPr>
          <w:ilvl w:val="0"/>
          <w:numId w:val="10"/>
        </w:numPr>
        <w:ind w:firstLine="567" w:left="0"/>
        <w:jc w:val="both"/>
      </w:pPr>
      <w:r>
        <w:t>о</w:t>
      </w:r>
      <w:r>
        <w:t>бязуется (гарантирует):</w:t>
      </w:r>
    </w:p>
    <w:p w14:paraId="76010000">
      <w:pPr>
        <w:widowControl w:val="0"/>
        <w:ind w:firstLine="567"/>
        <w:jc w:val="both"/>
      </w:pPr>
      <w:r>
        <w:t>обеспечить в период со дня принятия Комитетом решения о предоставлении субсидии до даты, по состоянию на которую Заявителем как получателем субсидии будет</w:t>
      </w:r>
      <w:r>
        <w:t xml:space="preserve"> формироваться отчетность</w:t>
      </w:r>
      <w:r>
        <w:t>, предусмотренная в пункте 5.1 Порядка, размер средней заработной платы каждого работника Заявителя (включая обособленные подразделения, находящиеся на территории Санкт-Петербурга</w:t>
      </w:r>
      <w:r>
        <w:t xml:space="preserve"> – </w:t>
      </w:r>
      <w:r>
        <w:t>для юридических лиц</w:t>
      </w:r>
      <w:r>
        <w:t xml:space="preserve">), рассчитываемый </w:t>
      </w:r>
      <w:r>
        <w:br/>
      </w:r>
      <w:r>
        <w:t>в соответствии со статьей 139 Трудового кодекса Российской Федерации,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период;</w:t>
      </w:r>
    </w:p>
    <w:p w14:paraId="77010000">
      <w:pPr>
        <w:widowControl w:val="0"/>
        <w:ind w:firstLine="567"/>
        <w:jc w:val="both"/>
      </w:pPr>
      <w:r>
        <w:t>н</w:t>
      </w:r>
      <w:r>
        <w:t xml:space="preserve">а дату принятия решения о перечислении субсидии или ее частей </w:t>
      </w:r>
      <w:r>
        <w:t xml:space="preserve">соответствовать </w:t>
      </w:r>
      <w:r>
        <w:t>требованию об отсутствии задолженности по денежным обязательствам, а также требованию об отсутствии налоговой задолженности</w:t>
      </w:r>
      <w:r>
        <w:t>;</w:t>
      </w:r>
    </w:p>
    <w:p w14:paraId="78010000">
      <w:pPr>
        <w:widowControl w:val="0"/>
        <w:ind w:firstLine="567"/>
        <w:jc w:val="both"/>
      </w:pPr>
      <w:r>
        <w:t xml:space="preserve">достичь </w:t>
      </w:r>
      <w:r>
        <w:t>результата</w:t>
      </w:r>
      <w:r>
        <w:t xml:space="preserve">, </w:t>
      </w:r>
      <w:r>
        <w:t>установленного в пункте 4.5 Порядка, исходя из характеристик, установленных в пунктах 4.6.1 и 4.6.2 Порядка;</w:t>
      </w:r>
    </w:p>
    <w:p w14:paraId="79010000">
      <w:pPr>
        <w:widowControl w:val="1"/>
        <w:ind w:firstLine="567"/>
        <w:jc w:val="both"/>
      </w:pPr>
      <w:r>
        <w:t xml:space="preserve">возвратить в бюджет Санкт-Петербурга средства субсидии при нарушении условий </w:t>
      </w:r>
      <w:r>
        <w:br/>
      </w:r>
      <w:r>
        <w:t>и</w:t>
      </w:r>
      <w:r>
        <w:t>(или)</w:t>
      </w:r>
      <w:r>
        <w:t xml:space="preserve"> порядка их предоставления </w:t>
      </w:r>
      <w:r>
        <w:t>и</w:t>
      </w:r>
      <w:r>
        <w:t>(или)</w:t>
      </w:r>
      <w:r>
        <w:t xml:space="preserve"> недостижении результата в соответствии </w:t>
      </w:r>
      <w:r>
        <w:br/>
      </w:r>
      <w:r>
        <w:t xml:space="preserve">с </w:t>
      </w:r>
      <w:r>
        <w:t xml:space="preserve">пунктами </w:t>
      </w:r>
      <w:r>
        <w:t>6.4 – 6.7</w:t>
      </w:r>
      <w:r>
        <w:t xml:space="preserve"> Порядка</w:t>
      </w:r>
      <w:r>
        <w:t>;</w:t>
      </w:r>
    </w:p>
    <w:p w14:paraId="7A010000">
      <w:pPr>
        <w:widowControl w:val="1"/>
        <w:ind w:firstLine="567"/>
        <w:jc w:val="both"/>
      </w:pPr>
      <w:r>
        <w:t>обеспечить соблюдение требований Федерального закона «О персональных данных».</w:t>
      </w:r>
    </w:p>
    <w:p w14:paraId="7B010000">
      <w:pPr>
        <w:pStyle w:val="Style_4"/>
        <w:widowControl w:val="1"/>
        <w:numPr>
          <w:ilvl w:val="0"/>
          <w:numId w:val="10"/>
        </w:numPr>
        <w:ind w:firstLine="567" w:left="0"/>
        <w:jc w:val="both"/>
      </w:pPr>
      <w:r>
        <w:t>д</w:t>
      </w:r>
      <w:r>
        <w:t>ает согласие:</w:t>
      </w:r>
    </w:p>
    <w:p w14:paraId="7C010000">
      <w:pPr>
        <w:pStyle w:val="Style_4"/>
        <w:widowControl w:val="1"/>
        <w:ind w:firstLine="567" w:left="0"/>
        <w:jc w:val="both"/>
      </w:pPr>
      <w:r>
        <w:t xml:space="preserve">на </w:t>
      </w:r>
      <w:r>
        <w:t>осуществление в отношении него как получателя субсидии Комитетом</w:t>
      </w:r>
      <w:r>
        <w:t xml:space="preserve"> </w:t>
      </w:r>
      <w:r>
        <w:t xml:space="preserve">проверок соблюдения условий и порядка предоставления субсидии, в том числе в части достижения результата, а также проверок органами государственного финансового контроля </w:t>
      </w:r>
      <w:r>
        <w:br/>
      </w:r>
      <w:r>
        <w:t xml:space="preserve">в соответствии со статьями 268.1 и 269.2 Бюджетного кодекса Российской Федерации </w:t>
      </w:r>
      <w:r>
        <w:br/>
      </w:r>
      <w:r>
        <w:t>и на включение таких положений в соглашение;</w:t>
      </w:r>
    </w:p>
    <w:p w14:paraId="7D010000">
      <w:pPr>
        <w:pStyle w:val="Style_4"/>
        <w:widowControl w:val="1"/>
        <w:ind w:firstLine="567" w:left="0"/>
        <w:jc w:val="both"/>
      </w:pPr>
      <w:r>
        <w:t xml:space="preserve">на </w:t>
      </w:r>
      <w:r>
        <w:t xml:space="preserve">публикацию на веб-странице Комитета на официальном сайте Администрации </w:t>
      </w:r>
      <w:r>
        <w:br/>
      </w:r>
      <w:r>
        <w:t>Санкт-Петербурга в информационно-телек</w:t>
      </w:r>
      <w:r>
        <w:t>оммуникационной сети «Интернет»</w:t>
      </w:r>
      <w:r>
        <w:br/>
      </w:r>
      <w:r>
        <w:t>(дал</w:t>
      </w:r>
      <w:r>
        <w:t xml:space="preserve">ее – сеть «Интернет»), а также </w:t>
      </w:r>
      <w:r>
        <w:t>и на официальном сайте Комитета в сети «Интернет</w:t>
      </w:r>
      <w:r>
        <w:t>»</w:t>
      </w:r>
      <w:r>
        <w:t xml:space="preserve"> информации о Заявителе, заявлении и иной информации, связанной с отбором </w:t>
      </w:r>
      <w:r>
        <w:br/>
      </w:r>
      <w:r>
        <w:t>и</w:t>
      </w:r>
      <w:r>
        <w:t>(или)</w:t>
      </w:r>
      <w:r>
        <w:t xml:space="preserve"> предоставлением субсидии;</w:t>
      </w:r>
    </w:p>
    <w:p w14:paraId="7E010000">
      <w:pPr>
        <w:pStyle w:val="Style_4"/>
        <w:widowControl w:val="1"/>
        <w:ind w:firstLine="567" w:left="0"/>
        <w:jc w:val="both"/>
      </w:pPr>
      <w:r>
        <w:t xml:space="preserve">на то, что при реорганизации Заявителя как получателя субсидии в форме слияния, присоединения или преобразования в соглашение будут внесены изменения путем заключения </w:t>
      </w:r>
      <w:r>
        <w:t xml:space="preserve">к нему </w:t>
      </w:r>
      <w:r>
        <w:t xml:space="preserve">дополнительного соглашения в части перемены лиц </w:t>
      </w:r>
      <w:r>
        <w:br/>
      </w:r>
      <w:r>
        <w:t xml:space="preserve">в обязательстве с указанием в соглашении юридического лица, являющегося правопреемником, а при реорганизации Заявителя как получателя субсидии в форме разделения, выделения и при ликвидации Заявителя как получателя субсидии соглашение будет расторгнуто с формированием уведомления о расторжении соглашения </w:t>
      </w:r>
      <w:r>
        <w:br/>
      </w:r>
      <w:r>
        <w:t>в одностороннем порядке и акта об исполнении обязательств по соглашению с отражением информации о неисполненных Заявителем как получателем субсидии обязательств, источником финансового обеспечения которых является субсидия, и возврате неиспользованного остатка субсидии в бюджет Санкт-Петербурга.</w:t>
      </w:r>
    </w:p>
    <w:p w14:paraId="7F010000">
      <w:pPr>
        <w:pStyle w:val="Style_4"/>
        <w:widowControl w:val="1"/>
        <w:ind w:firstLine="567" w:left="0"/>
        <w:jc w:val="both"/>
      </w:pPr>
      <w:r>
        <w:t>Полноту и достоверность представленных сведений подтверждаю.</w:t>
      </w:r>
    </w:p>
    <w:p w14:paraId="80010000">
      <w:pPr>
        <w:widowControl w:val="1"/>
        <w:tabs>
          <w:tab w:leader="none" w:pos="1134" w:val="left"/>
        </w:tabs>
        <w:ind w:firstLine="567"/>
        <w:jc w:val="both"/>
      </w:pPr>
    </w:p>
    <w:tbl>
      <w:tblPr>
        <w:tblStyle w:val="Style_10"/>
        <w:tblW w:type="auto" w:w="0"/>
        <w:tblInd w:type="dxa" w:w="105"/>
        <w:tblLayout w:type="fixed"/>
        <w:tblCellMar>
          <w:left w:type="dxa" w:w="105"/>
          <w:right w:type="dxa" w:w="105"/>
        </w:tblCellMar>
      </w:tblPr>
      <w:tblGrid>
        <w:gridCol w:w="4270"/>
        <w:gridCol w:w="230"/>
        <w:gridCol w:w="4856"/>
      </w:tblGrid>
      <w:tr>
        <w:tc>
          <w:tcPr>
            <w:tcW w:type="dxa" w:w="427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105"/>
              <w:right w:type="dxa" w:w="105"/>
            </w:tcMar>
          </w:tcPr>
          <w:p w14:paraId="81010000">
            <w:pPr>
              <w:widowControl w:val="0"/>
              <w:ind w:firstLine="90" w:left="-90"/>
              <w:jc w:val="both"/>
            </w:pPr>
          </w:p>
        </w:tc>
        <w:tc>
          <w:tcPr>
            <w:tcW w:type="dxa" w:w="23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105"/>
              <w:right w:type="dxa" w:w="105"/>
            </w:tcMar>
          </w:tcPr>
          <w:p w14:paraId="82010000">
            <w:pPr>
              <w:widowControl w:val="0"/>
              <w:ind/>
            </w:pPr>
          </w:p>
        </w:tc>
        <w:tc>
          <w:tcPr>
            <w:tcW w:type="dxa" w:w="485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105"/>
              <w:right w:type="dxa" w:w="105"/>
            </w:tcMar>
          </w:tcPr>
          <w:p w14:paraId="83010000">
            <w:pPr>
              <w:widowControl w:val="0"/>
              <w:ind/>
            </w:pPr>
          </w:p>
        </w:tc>
      </w:tr>
      <w:tr>
        <w:tc>
          <w:tcPr>
            <w:tcW w:type="dxa" w:w="4270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105"/>
              <w:right w:type="dxa" w:w="105"/>
            </w:tcMar>
          </w:tcPr>
          <w:p w14:paraId="84010000">
            <w:pPr>
              <w:widowControl w:val="0"/>
              <w:ind w:firstLine="90" w:left="-9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Аббревиатура «ИП» для Заявителя – индивидуального предпринимателя/наименование должности руководителя Заявителя в соответствии с учредительными документами – для Заявителя – юридического лица</w:t>
            </w:r>
            <w:r>
              <w:rPr>
                <w:sz w:val="20"/>
              </w:rPr>
              <w:t>/слова «представитель Заявителя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 xml:space="preserve"> для иного уполномоченного лица</w:t>
            </w:r>
            <w:r>
              <w:rPr>
                <w:rStyle w:val="Style_11_ch"/>
                <w:sz w:val="20"/>
              </w:rPr>
              <w:footnoteReference w:id="2"/>
            </w:r>
            <w:r>
              <w:rPr>
                <w:sz w:val="20"/>
              </w:rPr>
              <w:t>)</w:t>
            </w:r>
          </w:p>
        </w:tc>
        <w:tc>
          <w:tcPr>
            <w:tcW w:type="dxa" w:w="23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105"/>
              <w:right w:type="dxa" w:w="105"/>
            </w:tcMar>
          </w:tcPr>
          <w:p w14:paraId="85010000">
            <w:pPr>
              <w:widowControl w:val="0"/>
              <w:ind/>
              <w:rPr>
                <w:sz w:val="20"/>
              </w:rPr>
            </w:pPr>
          </w:p>
        </w:tc>
        <w:tc>
          <w:tcPr>
            <w:tcW w:type="dxa" w:w="4856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105"/>
              <w:right w:type="dxa" w:w="105"/>
            </w:tcMar>
          </w:tcPr>
          <w:p w14:paraId="86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Ф</w:t>
            </w:r>
            <w:r>
              <w:rPr>
                <w:sz w:val="20"/>
              </w:rPr>
              <w:t xml:space="preserve">амилия, имя, отчество (при наличии) </w:t>
            </w:r>
            <w:r>
              <w:rPr>
                <w:sz w:val="20"/>
              </w:rPr>
              <w:t>лица, подписавшего з</w:t>
            </w:r>
            <w:r>
              <w:rPr>
                <w:sz w:val="20"/>
              </w:rPr>
              <w:t>аявление</w:t>
            </w:r>
            <w:r>
              <w:rPr>
                <w:sz w:val="20"/>
              </w:rPr>
              <w:t>)</w:t>
            </w:r>
          </w:p>
        </w:tc>
      </w:tr>
    </w:tbl>
    <w:p w14:paraId="87010000">
      <w:pPr>
        <w:widowControl w:val="1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</w:p>
    <w:p w14:paraId="88010000">
      <w:pPr>
        <w:pStyle w:val="Style_12"/>
        <w:keepNext w:val="0"/>
        <w:keepLines w:val="0"/>
        <w:widowControl w:val="1"/>
        <w:spacing w:before="0"/>
        <w:ind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«____» _________ 20</w:t>
      </w:r>
      <w:r>
        <w:rPr>
          <w:rFonts w:ascii="Times New Roman" w:hAnsi="Times New Roman"/>
          <w:b w:val="0"/>
          <w:color w:val="000000"/>
          <w:sz w:val="24"/>
        </w:rPr>
        <w:t>25</w:t>
      </w:r>
      <w:r>
        <w:rPr>
          <w:rFonts w:ascii="Times New Roman" w:hAnsi="Times New Roman"/>
          <w:b w:val="0"/>
          <w:color w:val="000000"/>
          <w:sz w:val="24"/>
        </w:rPr>
        <w:t xml:space="preserve"> года</w:t>
      </w:r>
    </w:p>
    <w:p w14:paraId="89010000">
      <w:pPr>
        <w:sectPr>
          <w:headerReference r:id="rId27" w:type="default"/>
          <w:headerReference r:id="rId5" w:type="first"/>
          <w:headerReference r:id="rId24" w:type="even"/>
          <w:pgSz w:h="16838" w:orient="portrait" w:w="11906"/>
          <w:pgMar w:bottom="1134" w:footer="709" w:gutter="0" w:header="709" w:left="1701" w:right="851" w:top="1134"/>
          <w:pgNumType w:start="1"/>
          <w:titlePg/>
        </w:sectPr>
      </w:pPr>
    </w:p>
    <w:p w14:paraId="8A010000">
      <w:pPr>
        <w:widowControl w:val="0"/>
        <w:ind w:firstLine="424" w:left="4254"/>
      </w:pPr>
      <w:r>
        <w:t>Приложение № 2</w:t>
      </w:r>
    </w:p>
    <w:p w14:paraId="8B010000">
      <w:pPr>
        <w:widowControl w:val="1"/>
        <w:ind w:left="4678"/>
        <w:rPr>
          <w:b w:val="1"/>
        </w:rPr>
      </w:pPr>
      <w:r>
        <w:t>к Порядку предоставления в 2025 году субсидий</w:t>
      </w:r>
      <w:r>
        <w:t xml:space="preserve"> </w:t>
      </w:r>
      <w:r>
        <w:t>субъектам малого предпринима</w:t>
      </w:r>
      <w:r>
        <w:t>тельства в сфере промышленности</w:t>
      </w:r>
      <w:r>
        <w:t xml:space="preserve"> в Санкт-Петербурге </w:t>
      </w:r>
      <w:r>
        <w:br/>
      </w:r>
      <w:r>
        <w:t>в целях возмещения</w:t>
      </w:r>
      <w:r>
        <w:t xml:space="preserve"> части затрат, связанных </w:t>
      </w:r>
      <w:r>
        <w:br/>
      </w:r>
      <w:r>
        <w:t xml:space="preserve">с подготовкой, переподготовкой </w:t>
      </w:r>
      <w:r>
        <w:br/>
      </w:r>
      <w:r>
        <w:t>и повышением квалификации кадров</w:t>
      </w:r>
    </w:p>
    <w:p w14:paraId="8C010000">
      <w:pPr>
        <w:widowControl w:val="0"/>
        <w:ind w:left="5103"/>
        <w:rPr>
          <w:sz w:val="20"/>
        </w:rPr>
      </w:pPr>
    </w:p>
    <w:p w14:paraId="8D010000">
      <w:pPr>
        <w:widowControl w:val="0"/>
        <w:ind w:left="5103"/>
        <w:rPr>
          <w:b w:val="1"/>
          <w:i w:val="1"/>
          <w:sz w:val="28"/>
        </w:rPr>
      </w:pPr>
    </w:p>
    <w:p w14:paraId="8E010000">
      <w:pPr>
        <w:widowControl w:val="0"/>
        <w:ind w:left="5103"/>
        <w:rPr>
          <w:b w:val="1"/>
          <w:i w:val="1"/>
          <w:sz w:val="28"/>
        </w:rPr>
      </w:pPr>
    </w:p>
    <w:p w14:paraId="8F01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ПЕРЕЧЕНЬ </w:t>
      </w:r>
    </w:p>
    <w:p w14:paraId="90010000">
      <w:pPr>
        <w:widowControl w:val="1"/>
        <w:ind/>
        <w:jc w:val="center"/>
        <w:rPr>
          <w:b w:val="1"/>
        </w:rPr>
      </w:pPr>
      <w:r>
        <w:rPr>
          <w:b w:val="1"/>
        </w:rPr>
        <w:t>документов</w:t>
      </w:r>
      <w:r>
        <w:rPr>
          <w:b w:val="1"/>
        </w:rPr>
        <w:t xml:space="preserve">, </w:t>
      </w:r>
      <w:r>
        <w:rPr>
          <w:b w:val="1"/>
        </w:rPr>
        <w:t>представляемых в Комитет</w:t>
      </w:r>
      <w:r>
        <w:t xml:space="preserve"> </w:t>
      </w:r>
      <w:r>
        <w:rPr>
          <w:b w:val="1"/>
        </w:rPr>
        <w:t xml:space="preserve">по промышленной политике, </w:t>
      </w:r>
      <w:r>
        <w:rPr>
          <w:b w:val="1"/>
        </w:rPr>
        <w:br/>
      </w:r>
      <w:r>
        <w:rPr>
          <w:b w:val="1"/>
        </w:rPr>
        <w:t xml:space="preserve">инновациям и торговле Санкт-Петербурга для участия в отборе </w:t>
      </w:r>
      <w:r>
        <w:rPr>
          <w:b w:val="1"/>
        </w:rPr>
        <w:br/>
      </w:r>
      <w:r>
        <w:rPr>
          <w:b w:val="1"/>
        </w:rPr>
        <w:t xml:space="preserve">на право получения </w:t>
      </w:r>
      <w:r>
        <w:rPr>
          <w:b w:val="1"/>
        </w:rPr>
        <w:t>в 202</w:t>
      </w:r>
      <w:r>
        <w:rPr>
          <w:b w:val="1"/>
        </w:rPr>
        <w:t>5</w:t>
      </w:r>
      <w:r>
        <w:rPr>
          <w:b w:val="1"/>
        </w:rPr>
        <w:t xml:space="preserve"> году субсиди</w:t>
      </w:r>
      <w:r>
        <w:rPr>
          <w:b w:val="1"/>
        </w:rPr>
        <w:t>и</w:t>
      </w:r>
      <w:r>
        <w:rPr>
          <w:b w:val="1"/>
        </w:rPr>
        <w:t xml:space="preserve"> субъектам </w:t>
      </w:r>
      <w:r>
        <w:rPr>
          <w:b w:val="1"/>
        </w:rPr>
        <w:t xml:space="preserve">малого </w:t>
      </w:r>
      <w:r>
        <w:rPr>
          <w:b w:val="1"/>
        </w:rPr>
        <w:br/>
      </w:r>
      <w:r>
        <w:rPr>
          <w:b w:val="1"/>
        </w:rPr>
        <w:t xml:space="preserve">предпринимательства </w:t>
      </w:r>
      <w:r>
        <w:rPr>
          <w:b w:val="1"/>
        </w:rPr>
        <w:t xml:space="preserve">в сфере промышленности </w:t>
      </w:r>
      <w:r>
        <w:rPr>
          <w:b w:val="1"/>
        </w:rPr>
        <w:t xml:space="preserve">в Санкт-Петербурге </w:t>
      </w:r>
      <w:r>
        <w:rPr>
          <w:b w:val="1"/>
        </w:rPr>
        <w:br/>
      </w:r>
      <w:r>
        <w:rPr>
          <w:b w:val="1"/>
        </w:rPr>
        <w:t>в целях воз</w:t>
      </w:r>
      <w:r>
        <w:rPr>
          <w:b w:val="1"/>
        </w:rPr>
        <w:t>мещения части затрат</w:t>
      </w:r>
      <w:r>
        <w:rPr>
          <w:b w:val="1"/>
        </w:rPr>
        <w:t xml:space="preserve">, связанных с </w:t>
      </w:r>
      <w:r>
        <w:rPr>
          <w:b w:val="1"/>
        </w:rPr>
        <w:t xml:space="preserve">подготовкой, переподготовкой </w:t>
      </w:r>
      <w:r>
        <w:rPr>
          <w:b w:val="1"/>
        </w:rPr>
        <w:br/>
      </w:r>
      <w:r>
        <w:rPr>
          <w:b w:val="1"/>
        </w:rPr>
        <w:t>и повышением квалификации кадров</w:t>
      </w:r>
    </w:p>
    <w:p w14:paraId="91010000">
      <w:pPr>
        <w:widowControl w:val="1"/>
        <w:ind/>
        <w:jc w:val="center"/>
        <w:rPr>
          <w:b w:val="1"/>
        </w:rPr>
      </w:pPr>
    </w:p>
    <w:p w14:paraId="92010000">
      <w:pPr>
        <w:widowControl w:val="1"/>
        <w:ind/>
        <w:jc w:val="center"/>
        <w:rPr>
          <w:b w:val="1"/>
        </w:rPr>
      </w:pPr>
    </w:p>
    <w:p w14:paraId="93010000">
      <w:pPr>
        <w:pStyle w:val="Style_4"/>
        <w:widowControl w:val="1"/>
        <w:numPr>
          <w:ilvl w:val="0"/>
          <w:numId w:val="11"/>
        </w:numPr>
        <w:tabs>
          <w:tab w:leader="none" w:pos="1418" w:val="left"/>
        </w:tabs>
        <w:ind w:firstLine="426" w:left="0"/>
        <w:jc w:val="both"/>
      </w:pPr>
      <w:r>
        <w:t xml:space="preserve">Для </w:t>
      </w:r>
      <w:r>
        <w:t>участия в отборе на право получения</w:t>
      </w:r>
      <w:r>
        <w:t xml:space="preserve"> в 202</w:t>
      </w:r>
      <w:r>
        <w:t>5</w:t>
      </w:r>
      <w:r>
        <w:t xml:space="preserve"> году субсиди</w:t>
      </w:r>
      <w:r>
        <w:t>й</w:t>
      </w:r>
      <w:r>
        <w:t xml:space="preserve"> </w:t>
      </w:r>
      <w:r>
        <w:t>субъектам малого предпринимательс</w:t>
      </w:r>
      <w:r>
        <w:t>тва в сфере промышленности</w:t>
      </w:r>
      <w:r>
        <w:t xml:space="preserve"> в Санкт-Петербурге</w:t>
      </w:r>
      <w:r>
        <w:t xml:space="preserve"> </w:t>
      </w:r>
      <w:r>
        <w:t xml:space="preserve">в целях возмещения части затрат организаций, связанных </w:t>
      </w:r>
      <w:r>
        <w:t xml:space="preserve">с подготовкой, переподготовкой </w:t>
      </w:r>
      <w:r>
        <w:br/>
      </w:r>
      <w:r>
        <w:t>и повышением квалификации кадров</w:t>
      </w:r>
      <w:r>
        <w:t xml:space="preserve"> (далее </w:t>
      </w:r>
      <w:r>
        <w:t xml:space="preserve">соответственно </w:t>
      </w:r>
      <w:r>
        <w:t xml:space="preserve">– </w:t>
      </w:r>
      <w:r>
        <w:t xml:space="preserve">отбор, </w:t>
      </w:r>
      <w:r>
        <w:t>субсиди</w:t>
      </w:r>
      <w:r>
        <w:t>и</w:t>
      </w:r>
      <w:r>
        <w:t xml:space="preserve">), </w:t>
      </w:r>
      <w:r>
        <w:t xml:space="preserve">субъект </w:t>
      </w:r>
      <w:r>
        <w:rPr>
          <w:color w:themeColor="text1" w:val="000000"/>
        </w:rPr>
        <w:t>малого предпринимательства</w:t>
      </w:r>
      <w:r>
        <w:rPr>
          <w:color w:val="FF0000"/>
        </w:rPr>
        <w:t xml:space="preserve"> </w:t>
      </w:r>
      <w:r>
        <w:t xml:space="preserve">в сфере промышленности </w:t>
      </w:r>
      <w:r>
        <w:t xml:space="preserve">в </w:t>
      </w:r>
      <w:r>
        <w:t>Санкт-Петербург</w:t>
      </w:r>
      <w:r>
        <w:t>е</w:t>
      </w:r>
      <w:r>
        <w:t xml:space="preserve"> </w:t>
      </w:r>
      <w:r>
        <w:br/>
      </w:r>
      <w:r>
        <w:t>(далее</w:t>
      </w:r>
      <w:r>
        <w:t xml:space="preserve"> </w:t>
      </w:r>
      <w:r>
        <w:t>–</w:t>
      </w:r>
      <w:r>
        <w:t xml:space="preserve"> </w:t>
      </w:r>
      <w:r>
        <w:t xml:space="preserve">участник отбора) вместе с </w:t>
      </w:r>
      <w:r>
        <w:t>заявкой</w:t>
      </w:r>
      <w:r>
        <w:t xml:space="preserve"> </w:t>
      </w:r>
      <w:r>
        <w:t>на участие в отборе</w:t>
      </w:r>
      <w:r>
        <w:t xml:space="preserve"> (далее – зая</w:t>
      </w:r>
      <w:r>
        <w:t>вка</w:t>
      </w:r>
      <w:r>
        <w:t xml:space="preserve">), </w:t>
      </w:r>
      <w:r>
        <w:t xml:space="preserve">которое заполняется в электронном виде в личном кабинете </w:t>
      </w:r>
      <w:r>
        <w:t xml:space="preserve">участника отбора </w:t>
      </w:r>
      <w:r>
        <w:t xml:space="preserve">на </w:t>
      </w:r>
      <w:r>
        <w:t>Площадке отбора</w:t>
      </w:r>
      <w:r>
        <w:t xml:space="preserve"> (далее – личный кабинет)</w:t>
      </w:r>
      <w:r>
        <w:t>,</w:t>
      </w:r>
      <w:r>
        <w:t xml:space="preserve"> </w:t>
      </w:r>
      <w:r>
        <w:t xml:space="preserve">в соответствии </w:t>
      </w:r>
      <w:r>
        <w:t xml:space="preserve">с пунктом </w:t>
      </w:r>
      <w:r>
        <w:t xml:space="preserve">2.1 Порядка предоставления </w:t>
      </w:r>
      <w:r>
        <w:br/>
      </w:r>
      <w:r>
        <w:t>в 202</w:t>
      </w:r>
      <w:r>
        <w:t>5</w:t>
      </w:r>
      <w:r>
        <w:t xml:space="preserve"> году субсидий </w:t>
      </w:r>
      <w:r>
        <w:t>субъектам малого предпринимат</w:t>
      </w:r>
      <w:r>
        <w:t xml:space="preserve">ельства в сфере промышленности </w:t>
      </w:r>
      <w:r>
        <w:br/>
      </w:r>
      <w:r>
        <w:t>в Санкт-Петербурге</w:t>
      </w:r>
      <w:r>
        <w:t xml:space="preserve"> </w:t>
      </w:r>
      <w:r>
        <w:t>в целях возмещения части затрат организаций, связанных с уплатой лизинговых платежей за приобретаемое технологическое оборудование</w:t>
      </w:r>
      <w:r>
        <w:t>, утвержденного настоящим постановлением</w:t>
      </w:r>
      <w:r>
        <w:t xml:space="preserve"> (далее – Порядок), </w:t>
      </w:r>
      <w:r>
        <w:t>представляет</w:t>
      </w:r>
      <w:r>
        <w:t>:</w:t>
      </w:r>
    </w:p>
    <w:p w14:paraId="94010000">
      <w:pPr>
        <w:widowControl w:val="1"/>
        <w:numPr>
          <w:ilvl w:val="1"/>
          <w:numId w:val="12"/>
        </w:numPr>
        <w:tabs>
          <w:tab w:leader="none" w:pos="1418" w:val="left"/>
        </w:tabs>
        <w:ind w:firstLine="567" w:left="0"/>
        <w:jc w:val="both"/>
      </w:pPr>
      <w:r>
        <w:rPr>
          <w:color w:themeColor="text1" w:val="000000"/>
        </w:rPr>
        <w:t>Скан-образы</w:t>
      </w:r>
      <w:r>
        <w:t xml:space="preserve"> </w:t>
      </w:r>
      <w:r>
        <w:t>следующи</w:t>
      </w:r>
      <w:r>
        <w:t>х</w:t>
      </w:r>
      <w:r>
        <w:rPr>
          <w:color w:val="FF0000"/>
        </w:rPr>
        <w:t xml:space="preserve"> </w:t>
      </w:r>
      <w:r>
        <w:t>документ</w:t>
      </w:r>
      <w:r>
        <w:t>ов</w:t>
      </w:r>
      <w:r>
        <w:t xml:space="preserve">: </w:t>
      </w:r>
    </w:p>
    <w:p w14:paraId="95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>У</w:t>
      </w:r>
      <w:r>
        <w:t xml:space="preserve">чредительных документов </w:t>
      </w:r>
      <w:r>
        <w:t>участника отбора</w:t>
      </w:r>
      <w:r>
        <w:t xml:space="preserve"> </w:t>
      </w:r>
      <w:r>
        <w:t>(для юридических лиц)</w:t>
      </w:r>
      <w:r>
        <w:br/>
      </w:r>
      <w:r>
        <w:t>в актуальной редакции</w:t>
      </w:r>
      <w:r>
        <w:t>.</w:t>
      </w:r>
    </w:p>
    <w:p w14:paraId="96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>Д</w:t>
      </w:r>
      <w:r>
        <w:t xml:space="preserve">окументов, подтверждающих </w:t>
      </w:r>
      <w:r>
        <w:t>назначение (</w:t>
      </w:r>
      <w:r>
        <w:t>избрание</w:t>
      </w:r>
      <w:r>
        <w:t>)</w:t>
      </w:r>
      <w:r>
        <w:t xml:space="preserve"> </w:t>
      </w:r>
      <w:r>
        <w:t xml:space="preserve">на должность руководителя </w:t>
      </w:r>
      <w:r>
        <w:t>участника отбора</w:t>
      </w:r>
      <w:r>
        <w:t xml:space="preserve"> </w:t>
      </w:r>
      <w:r>
        <w:t xml:space="preserve">или документов, подтверждающих полномочия </w:t>
      </w:r>
      <w:r>
        <w:br/>
      </w:r>
      <w:r>
        <w:t>иного единоличного или коллегиального исполнительного органа участника отбора</w:t>
      </w:r>
      <w:r>
        <w:t xml:space="preserve"> </w:t>
      </w:r>
      <w:r>
        <w:br/>
      </w:r>
      <w:r>
        <w:t>(для юридических лиц)</w:t>
      </w:r>
      <w:r>
        <w:t xml:space="preserve">: </w:t>
      </w:r>
      <w:r>
        <w:t xml:space="preserve">приказ </w:t>
      </w:r>
      <w:r>
        <w:t>о назначении на должность руководителя юридического лица</w:t>
      </w:r>
      <w:r>
        <w:t xml:space="preserve"> и(или) протокол избрания </w:t>
      </w:r>
      <w:r>
        <w:t>на должность руководителя юридического лица</w:t>
      </w:r>
      <w:r>
        <w:t>,</w:t>
      </w:r>
      <w:r>
        <w:t xml:space="preserve"> </w:t>
      </w:r>
      <w:r>
        <w:br/>
      </w:r>
      <w:r>
        <w:t>и(</w:t>
      </w:r>
      <w:r>
        <w:t>или</w:t>
      </w:r>
      <w:r>
        <w:t>)</w:t>
      </w:r>
      <w:r>
        <w:t xml:space="preserve"> решение единственного участника.</w:t>
      </w:r>
    </w:p>
    <w:p w14:paraId="97010000">
      <w:pPr>
        <w:pStyle w:val="Style_4"/>
        <w:widowControl w:val="1"/>
        <w:numPr>
          <w:ilvl w:val="2"/>
          <w:numId w:val="12"/>
        </w:numPr>
        <w:ind w:firstLine="567" w:left="0"/>
        <w:jc w:val="both"/>
      </w:pPr>
      <w:r>
        <w:t>Расчет размера субсидии, произведенный в соответствии с пунктом 4.7 Порядка по форме, установленной в приложении к настоящему Перечню, с приложением заполненной редактируемой электронной версии в формате Excel.</w:t>
      </w:r>
    </w:p>
    <w:p w14:paraId="98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 xml:space="preserve">Выписки из реестра акционеров с указанием долей ценных бумаг, учтенных </w:t>
      </w:r>
      <w:r>
        <w:br/>
      </w:r>
      <w:r>
        <w:t xml:space="preserve">на лицевом счете каждого акционера организации (для организации, являющейся акционерным обществом), выданной не ранее, чем за полгода до даты подачи заявки. </w:t>
      </w:r>
    </w:p>
    <w:p w14:paraId="99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>Документов, удостоверяющих личность участников отбора, являющихся инд</w:t>
      </w:r>
      <w:r>
        <w:t xml:space="preserve">ивидуальными предпринимателями, </w:t>
      </w:r>
      <w:r>
        <w:t xml:space="preserve">или лиц, уполномоченных на взаимодействие </w:t>
      </w:r>
      <w:r>
        <w:br/>
      </w:r>
      <w:r>
        <w:t xml:space="preserve">с Комитетом от имени участников отбора на основании доверенности или иного документа </w:t>
      </w:r>
      <w:r>
        <w:br/>
      </w:r>
      <w:r>
        <w:t>в соответств</w:t>
      </w:r>
      <w:r>
        <w:t>ии с уставом организации и</w:t>
      </w:r>
      <w:r>
        <w:t xml:space="preserve">(или) законодательством Российской Федерации, подтверждающего полномочия этого лица на совершение соответствующих действий </w:t>
      </w:r>
      <w:r>
        <w:br/>
      </w:r>
      <w:r>
        <w:t>от имени и в интересах Заявителя (далее соответственно – иные уполномоченные лица, уполномочивающие документы) (предоставляются скан-образы страниц документов, удостоверяющих личность, содержащие сведения о фамилии, имени, отчестве лица, серии, номере документа, удостоверяющего личность, дате его выдачи, органе, выдавшем указанный документ, а также о месте жительства лица (при наличии)</w:t>
      </w:r>
      <w:r>
        <w:t>.</w:t>
      </w:r>
    </w:p>
    <w:p w14:paraId="9A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 xml:space="preserve">Справки участника отбора в свободной форме, подтверждающей отсутствие </w:t>
      </w:r>
      <w:r>
        <w:br/>
      </w:r>
      <w:r>
        <w:t xml:space="preserve">у участника отбора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 на дату не ранее </w:t>
      </w:r>
      <w:r>
        <w:br/>
      </w:r>
      <w:r>
        <w:t>30 календарных дней до 1 числа месяца, в котором планируется проведение отбора.</w:t>
      </w:r>
    </w:p>
    <w:p w14:paraId="9B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 xml:space="preserve">Справки по форме, утвержденной приказом Федеральной налоговой службы </w:t>
      </w:r>
      <w:r>
        <w:br/>
      </w:r>
      <w:r>
        <w:t xml:space="preserve">от 05.11.2024 № ЕД-7-8/987@ «Об утверждении формы справки о наличии по состоянию </w:t>
      </w:r>
      <w:r>
        <w:br/>
      </w:r>
      <w:r>
        <w:t xml:space="preserve">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предоставления в электронной форме», выданной участнику отбора налоговым органом на дату не ранее 30 </w:t>
      </w:r>
      <w:r>
        <w:t>календарных</w:t>
      </w:r>
      <w:r>
        <w:t xml:space="preserve"> дней </w:t>
      </w:r>
      <w:r>
        <w:br/>
      </w:r>
      <w:r>
        <w:t>до даты подачи заявки и документов.</w:t>
      </w:r>
    </w:p>
    <w:p w14:paraId="9C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>В случае</w:t>
      </w:r>
      <w:r>
        <w:t>,</w:t>
      </w:r>
      <w:r>
        <w:t xml:space="preserve"> если участник отбора не представил справку, указанную в настоящем пункте, Комитет по промышленной политике, инновациям и торговле Санкт-Петербурга запрашивает данные сведения посредством системы межведомственного электронного взаимодействия с территориальными органами Федеральной налоговой службы.</w:t>
      </w:r>
      <w:r>
        <w:t xml:space="preserve"> </w:t>
      </w:r>
    </w:p>
    <w:p w14:paraId="9D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  <w:rPr>
          <w:rStyle w:val="Style_13_ch"/>
        </w:rPr>
      </w:pPr>
      <w:r>
        <w:t>Р</w:t>
      </w:r>
      <w:r>
        <w:t xml:space="preserve">асчета сумм налога на доходы физических лиц, исчисленных </w:t>
      </w:r>
      <w:r>
        <w:br/>
      </w:r>
      <w:r>
        <w:t xml:space="preserve">и удержанных налоговым агентом </w:t>
      </w:r>
      <w:r>
        <w:t>за 202</w:t>
      </w:r>
      <w:r>
        <w:t>4</w:t>
      </w:r>
      <w:r>
        <w:t xml:space="preserve"> год по форме, </w:t>
      </w:r>
      <w:r>
        <w:rPr>
          <w:rStyle w:val="Style_13_ch"/>
        </w:rPr>
        <w:t>утвержденной</w:t>
      </w:r>
      <w:r>
        <w:rPr>
          <w:rStyle w:val="Style_13_ch"/>
        </w:rPr>
        <w:t xml:space="preserve"> </w:t>
      </w:r>
      <w:r>
        <w:rPr>
          <w:rStyle w:val="Style_13_ch"/>
        </w:rPr>
        <w:t>приказом Федеральной налоговой службы (форма 6-НДФЛ) с отметкой принявшего налогового органа.</w:t>
      </w:r>
    </w:p>
    <w:p w14:paraId="9E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  <w:rPr>
          <w:rStyle w:val="Style_13_ch"/>
        </w:rPr>
      </w:pPr>
      <w:r>
        <w:rPr>
          <w:rStyle w:val="Style_13_ch"/>
        </w:rPr>
        <w:t>Р</w:t>
      </w:r>
      <w:r>
        <w:rPr>
          <w:rStyle w:val="Style_13_ch"/>
        </w:rPr>
        <w:t>асчета по страховым взносам</w:t>
      </w:r>
      <w:r>
        <w:rPr>
          <w:rStyle w:val="Style_13_ch"/>
        </w:rPr>
        <w:t xml:space="preserve"> по форме, утвержденной приказом Федеральной налоговой службы (</w:t>
      </w:r>
      <w:r>
        <w:rPr>
          <w:rStyle w:val="Style_13_ch"/>
        </w:rPr>
        <w:t>без приложения разделов, содержащих персонифицированные сведения о физических лицах</w:t>
      </w:r>
      <w:r>
        <w:rPr>
          <w:rStyle w:val="Style_13_ch"/>
        </w:rPr>
        <w:t>)</w:t>
      </w:r>
      <w:r>
        <w:rPr>
          <w:rStyle w:val="Style_13_ch"/>
        </w:rPr>
        <w:t xml:space="preserve"> с отметкой принявшего налогового органа</w:t>
      </w:r>
      <w:r>
        <w:rPr>
          <w:rStyle w:val="Style_13_ch"/>
        </w:rPr>
        <w:t>.</w:t>
      </w:r>
    </w:p>
    <w:p w14:paraId="9F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 xml:space="preserve">Справки участника отбора (в свободной форме) о том, что в 2024 году среднемесячный доход от трудовой деятельности его работников (включая работников обособленных подразделений, находящихся на территории Санкт-Петербурга – </w:t>
      </w:r>
      <w:r>
        <w:t>для юридических лиц</w:t>
      </w:r>
      <w:r>
        <w:t xml:space="preserve">), рассчитываемый на основании данных о фонде оплаты труда </w:t>
      </w:r>
      <w:r>
        <w:br/>
      </w:r>
      <w:r>
        <w:t xml:space="preserve">и среднесписочной численности работников на соответствующий период 2024 года, </w:t>
      </w:r>
      <w:r>
        <w:br/>
      </w:r>
      <w:r>
        <w:t xml:space="preserve">был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>
        <w:br/>
      </w:r>
      <w:r>
        <w:t>на соответствующий период 2024 года.</w:t>
      </w:r>
    </w:p>
    <w:p w14:paraId="A0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>Справка, указанная в настоящем пункте, представляется в случае, если на основании документов, указанных в пунктах 1.1.6 и 1.1.7 настоящего Перечня, невозможно определить среднемесячный доход от трудовой деятельности работников участника отбора за 2024 год (период в течение 2024 года).</w:t>
      </w:r>
    </w:p>
    <w:p w14:paraId="A1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>Договоров, указанных в пункте 1.</w:t>
      </w:r>
      <w:r>
        <w:t>7</w:t>
      </w:r>
      <w:r>
        <w:t xml:space="preserve"> Порядка, в зависимости от направлений затрат, возмещение части которых планируется за счет средств субсидии, а также документов, подтверждающих факт оплаты и оказания услуг (счетов, </w:t>
      </w:r>
      <w:r>
        <w:t>актов об оказании услуг</w:t>
      </w:r>
      <w:r>
        <w:t>, счетов-фактур и</w:t>
      </w:r>
      <w:r>
        <w:t>(или) иных документов)</w:t>
      </w:r>
      <w:r>
        <w:t>.</w:t>
      </w:r>
    </w:p>
    <w:p w14:paraId="A2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>Платежных документов, подтвержд</w:t>
      </w:r>
      <w:r>
        <w:t xml:space="preserve">ающих фактическое осуществление платежей </w:t>
      </w:r>
      <w:r>
        <w:t>участником отбора в период с 01.07.2024 по 30.06.2025</w:t>
      </w:r>
      <w:r>
        <w:t xml:space="preserve"> по договорам, указанным </w:t>
      </w:r>
      <w:r>
        <w:br/>
      </w:r>
      <w:r>
        <w:t xml:space="preserve">в пункте </w:t>
      </w:r>
      <w:r>
        <w:t>1.</w:t>
      </w:r>
      <w:r>
        <w:t>7</w:t>
      </w:r>
      <w:r>
        <w:t xml:space="preserve"> Порядка</w:t>
      </w:r>
      <w:r>
        <w:t xml:space="preserve">. </w:t>
      </w:r>
    </w:p>
    <w:p w14:paraId="A3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 xml:space="preserve">Документов, подтверждающих успешное прохождение работниками субъектов МПСП – участников отбора обучения в рамках профессиональной подготовки, переподготовки и повышения квалификации (далее – обучение) в соответствии </w:t>
      </w:r>
      <w:r>
        <w:br/>
      </w:r>
      <w:r>
        <w:t xml:space="preserve">с условиями, отраженными в договоре (документа об образовании и о квалификации, </w:t>
      </w:r>
      <w:r>
        <w:t>диплома о профессиональной переподготовке, у</w:t>
      </w:r>
      <w:r>
        <w:t xml:space="preserve">достоверения или свидетельства </w:t>
      </w:r>
      <w:r>
        <w:br/>
      </w:r>
      <w:r>
        <w:t>о повышении квалификации (при возмещении затрат</w:t>
      </w:r>
      <w:r>
        <w:t xml:space="preserve"> по направлениям, определенным </w:t>
      </w:r>
      <w:r>
        <w:br/>
      </w:r>
      <w:r>
        <w:t xml:space="preserve">в </w:t>
      </w:r>
      <w:r>
        <w:t>пункте</w:t>
      </w:r>
      <w:r>
        <w:t xml:space="preserve"> </w:t>
      </w:r>
      <w:r>
        <w:t>1.</w:t>
      </w:r>
      <w:r>
        <w:t>7</w:t>
      </w:r>
      <w:r>
        <w:t xml:space="preserve"> Порядка</w:t>
      </w:r>
      <w:r>
        <w:t>)</w:t>
      </w:r>
      <w:r>
        <w:t>.</w:t>
      </w:r>
    </w:p>
    <w:p w14:paraId="A4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 xml:space="preserve">Сведений о трудовой деятельности каждого работника </w:t>
      </w:r>
      <w:r>
        <w:br/>
      </w:r>
      <w:r>
        <w:t xml:space="preserve">организации – участника отбора, прошедшего обучение, </w:t>
      </w:r>
      <w:r>
        <w:t xml:space="preserve">по форме СТД-Р, утвержденной приказом Министерства труда и социальной защиты от 10.11.2022 № 713н </w:t>
      </w:r>
      <w:r>
        <w:br/>
      </w:r>
      <w:r>
        <w:t xml:space="preserve">«Об утверждении формы сведений о трудовой деятельности, предоставляемой работнику работодателем, формы предоставления сведений о трудовой деятельности </w:t>
      </w:r>
      <w:r>
        <w:br/>
      </w:r>
      <w:r>
        <w:t xml:space="preserve">из информационных ресурсов Фонда пенсионного и социального страхования </w:t>
      </w:r>
      <w:r>
        <w:br/>
      </w:r>
      <w:r>
        <w:t>Российской Федерации и порядка их заполнения» (в отношении работников, чья трудовая книж</w:t>
      </w:r>
      <w:r>
        <w:t>ка ведется в электронном виде) и</w:t>
      </w:r>
      <w:r>
        <w:t xml:space="preserve">(или) скан-образы трудовых книжек указанных работников (допускается представление скан-образа, содержащего только информацию </w:t>
      </w:r>
      <w:r>
        <w:br/>
      </w:r>
      <w:r>
        <w:t>о т</w:t>
      </w:r>
      <w:r>
        <w:t xml:space="preserve">рудовой деятельности работника </w:t>
      </w:r>
      <w:r>
        <w:t xml:space="preserve">в организации – участнике отбора), заверенные </w:t>
      </w:r>
      <w:r>
        <w:br/>
      </w:r>
      <w:r>
        <w:t>в установленном организацией порядке датой не ранее пяти рабочих дней до даты подачи за</w:t>
      </w:r>
      <w:r>
        <w:t xml:space="preserve">явления </w:t>
      </w:r>
      <w:r>
        <w:t xml:space="preserve">(при возмещении затрат </w:t>
      </w:r>
      <w:r>
        <w:t xml:space="preserve">по направлениям, определенным </w:t>
      </w:r>
      <w:r>
        <w:t xml:space="preserve">в </w:t>
      </w:r>
      <w:r>
        <w:t>пункте</w:t>
      </w:r>
      <w:r>
        <w:t xml:space="preserve"> </w:t>
      </w:r>
      <w:r>
        <w:t>1.</w:t>
      </w:r>
      <w:r>
        <w:t>7</w:t>
      </w:r>
      <w:r>
        <w:t xml:space="preserve"> Порядка</w:t>
      </w:r>
      <w:r>
        <w:t>)</w:t>
      </w:r>
      <w:r>
        <w:t>.</w:t>
      </w:r>
    </w:p>
    <w:p w14:paraId="A5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>Договоров (соглашений) между участниками отбора и работниками, направленным</w:t>
      </w:r>
      <w:r>
        <w:t>и</w:t>
      </w:r>
      <w:r>
        <w:t xml:space="preserve"> участником отбора на обучение, закрепляющих обязанность работников </w:t>
      </w:r>
      <w:r>
        <w:br/>
      </w:r>
      <w:r>
        <w:t xml:space="preserve">по отработке у участника отбора не менее одного года с даты окончания обучения </w:t>
      </w:r>
      <w:r>
        <w:br/>
      </w:r>
      <w:r>
        <w:t>(при возмещении затрат по напра</w:t>
      </w:r>
      <w:r>
        <w:t xml:space="preserve">влениям, определенным в пункте </w:t>
      </w:r>
      <w:r>
        <w:t>1.</w:t>
      </w:r>
      <w:r>
        <w:t>7</w:t>
      </w:r>
      <w:r>
        <w:t xml:space="preserve"> Порядка</w:t>
      </w:r>
      <w:r>
        <w:t>).</w:t>
      </w:r>
    </w:p>
    <w:p w14:paraId="A6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 xml:space="preserve">Справки организации – участника отбора </w:t>
      </w:r>
      <w:r>
        <w:t xml:space="preserve">(в свободной форме) с указанием </w:t>
      </w:r>
      <w:r>
        <w:t>следующей информации:</w:t>
      </w:r>
    </w:p>
    <w:p w14:paraId="A7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 xml:space="preserve">краткая характеристика и история организации; </w:t>
      </w:r>
    </w:p>
    <w:p w14:paraId="A8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>сведения о производимой продукции;</w:t>
      </w:r>
    </w:p>
    <w:p w14:paraId="A9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 xml:space="preserve">основные направления деятельности; </w:t>
      </w:r>
    </w:p>
    <w:p w14:paraId="AA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 xml:space="preserve">среднесписочная численность работников организации; </w:t>
      </w:r>
    </w:p>
    <w:p w14:paraId="AB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>средняя заработная плата р</w:t>
      </w:r>
      <w:r>
        <w:t>аботников в организации (в тыс.</w:t>
      </w:r>
      <w:r>
        <w:t xml:space="preserve">руб.); </w:t>
      </w:r>
    </w:p>
    <w:p w14:paraId="AC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>объем выпуска продукции (в тыс.</w:t>
      </w:r>
      <w:r>
        <w:t xml:space="preserve">руб.); </w:t>
      </w:r>
    </w:p>
    <w:p w14:paraId="AD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 xml:space="preserve">объем налоговых отчислений, в том числе в </w:t>
      </w:r>
      <w:r>
        <w:t>бюджет Санкт-Петербурга (в тыс.</w:t>
      </w:r>
      <w:r>
        <w:t>руб.)</w:t>
      </w:r>
      <w:r>
        <w:t xml:space="preserve"> </w:t>
      </w:r>
      <w:r>
        <w:t>(количественные показатели указываются в динамике за три последние года, включая текущий год).</w:t>
      </w:r>
    </w:p>
    <w:p w14:paraId="AE010000">
      <w:pPr>
        <w:pStyle w:val="Style_4"/>
        <w:widowControl w:val="1"/>
        <w:numPr>
          <w:ilvl w:val="2"/>
          <w:numId w:val="12"/>
        </w:numPr>
        <w:tabs>
          <w:tab w:leader="none" w:pos="1418" w:val="left"/>
        </w:tabs>
        <w:ind w:firstLine="567" w:left="0"/>
        <w:jc w:val="both"/>
      </w:pPr>
      <w:r>
        <w:t>Согласия на обработку персональных данных</w:t>
      </w:r>
      <w:r>
        <w:t xml:space="preserve"> по форме согласно приложению № 2 к настоящему Перечню</w:t>
      </w:r>
      <w:r>
        <w:t>:</w:t>
      </w:r>
    </w:p>
    <w:p w14:paraId="AF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>участников отбора (для участников отбора, являющихся индивидуальными предпринимателями);</w:t>
      </w:r>
    </w:p>
    <w:p w14:paraId="B0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>руководителей участников отбора (для участников, являющихся юридическими лицами);</w:t>
      </w:r>
    </w:p>
    <w:p w14:paraId="B1010000">
      <w:pPr>
        <w:pStyle w:val="Style_4"/>
        <w:widowControl w:val="1"/>
        <w:tabs>
          <w:tab w:leader="none" w:pos="1418" w:val="left"/>
        </w:tabs>
        <w:ind w:firstLine="567" w:left="0"/>
        <w:jc w:val="both"/>
      </w:pPr>
      <w:r>
        <w:t>иных уполномоченных лиц (для участников отбора, действующих через своих представителей).</w:t>
      </w:r>
    </w:p>
    <w:p w14:paraId="B2010000">
      <w:pPr>
        <w:pStyle w:val="Style_4"/>
        <w:widowControl w:val="1"/>
        <w:numPr>
          <w:ilvl w:val="0"/>
          <w:numId w:val="13"/>
        </w:numPr>
        <w:tabs>
          <w:tab w:leader="none" w:pos="993" w:val="left"/>
        </w:tabs>
        <w:ind w:firstLine="567" w:left="0"/>
        <w:jc w:val="both"/>
      </w:pPr>
      <w:r>
        <w:t>Документы, указанные в пунктах 1.1</w:t>
      </w:r>
      <w:r>
        <w:t>.</w:t>
      </w:r>
      <w:r>
        <w:t>1</w:t>
      </w:r>
      <w:r>
        <w:t xml:space="preserve"> – </w:t>
      </w:r>
      <w:r>
        <w:t>1.</w:t>
      </w:r>
      <w:r>
        <w:t>1.16</w:t>
      </w:r>
      <w:r>
        <w:t xml:space="preserve"> </w:t>
      </w:r>
      <w:r>
        <w:t>настоящего Перечня</w:t>
      </w:r>
      <w:r>
        <w:t xml:space="preserve"> помимо имеющихся в них реквизитных подписей </w:t>
      </w:r>
      <w:r>
        <w:t>(при наличии)</w:t>
      </w:r>
      <w:r>
        <w:t xml:space="preserve"> </w:t>
      </w:r>
      <w:r>
        <w:t xml:space="preserve">также </w:t>
      </w:r>
      <w:r>
        <w:t>заверяютс</w:t>
      </w:r>
      <w:r>
        <w:t xml:space="preserve">я </w:t>
      </w:r>
      <w:r>
        <w:t>усиленной квалифицированной электронной подписью</w:t>
      </w:r>
      <w:r>
        <w:t xml:space="preserve"> </w:t>
      </w:r>
      <w:r>
        <w:t xml:space="preserve">лица, подающего заявку </w:t>
      </w:r>
      <w:r>
        <w:t>и документы.</w:t>
      </w:r>
    </w:p>
    <w:p w14:paraId="B3010000">
      <w:pPr>
        <w:widowControl w:val="1"/>
        <w:tabs>
          <w:tab w:leader="none" w:pos="993" w:val="left"/>
          <w:tab w:leader="none" w:pos="1276" w:val="left"/>
          <w:tab w:leader="none" w:pos="1418" w:val="left"/>
        </w:tabs>
        <w:ind w:firstLine="567"/>
        <w:contextualSpacing w:val="1"/>
        <w:jc w:val="both"/>
      </w:pPr>
      <w:r>
        <w:t>Если заяв</w:t>
      </w:r>
      <w:r>
        <w:t>ка</w:t>
      </w:r>
      <w:r>
        <w:t xml:space="preserve"> и документы подаются лицом, действующим от имени и в интересах участника отбора на основании доверенности или иного документа в соответствии </w:t>
      </w:r>
      <w:r>
        <w:br/>
      </w:r>
      <w:r>
        <w:t>с уставом участника отбора и</w:t>
      </w:r>
      <w:r>
        <w:t>(или)</w:t>
      </w:r>
      <w:r>
        <w:t xml:space="preserve"> законодательством Российской Федерации, подтверждающего полномочия этого лица на совершение соответствующих действий, </w:t>
      </w:r>
      <w:r>
        <w:br/>
      </w:r>
      <w:r>
        <w:t>также представляется скан-образ соответствующего уполномочивающего документа.</w:t>
      </w:r>
    </w:p>
    <w:p w14:paraId="B4010000">
      <w:pPr>
        <w:widowControl w:val="0"/>
        <w:tabs>
          <w:tab w:leader="none" w:pos="993" w:val="left"/>
          <w:tab w:leader="none" w:pos="1418" w:val="left"/>
        </w:tabs>
        <w:ind w:firstLine="567"/>
        <w:jc w:val="both"/>
      </w:pPr>
      <w:r>
        <w:t xml:space="preserve">В случае представления документов на иностранном языке представляется скан-образ нотариально заверенного перевода данных документов на русский язык и лицензии </w:t>
      </w:r>
      <w:r>
        <w:br/>
      </w:r>
      <w:r>
        <w:t xml:space="preserve">на право нотариальной деятельности лица, </w:t>
      </w:r>
      <w:r>
        <w:t>осуществившего данный перевод</w:t>
      </w:r>
      <w:r>
        <w:t>.</w:t>
      </w:r>
    </w:p>
    <w:p w14:paraId="B5010000">
      <w:pPr>
        <w:widowControl w:val="0"/>
        <w:tabs>
          <w:tab w:leader="none" w:pos="993" w:val="left"/>
          <w:tab w:leader="none" w:pos="1418" w:val="left"/>
        </w:tabs>
        <w:ind w:firstLine="567"/>
        <w:jc w:val="both"/>
      </w:pPr>
      <w:r>
        <w:t xml:space="preserve">В случае проведения расчетов (платежей) в иностранной валюте представляются </w:t>
      </w:r>
      <w:r>
        <w:br/>
      </w:r>
      <w:r>
        <w:t>с</w:t>
      </w:r>
      <w:r>
        <w:t xml:space="preserve">кан-образы справок (в свободной форме) </w:t>
      </w:r>
      <w:r>
        <w:t xml:space="preserve">о курсе данной валюты по отношению </w:t>
      </w:r>
      <w:r>
        <w:br/>
      </w:r>
      <w:r>
        <w:t xml:space="preserve">к российскому рублю на дату осуществления платежа по данным Центрального банка </w:t>
      </w:r>
      <w:r>
        <w:t>Российской Федерации.</w:t>
      </w:r>
    </w:p>
    <w:p w14:paraId="B6010000">
      <w:pPr>
        <w:widowControl w:val="0"/>
        <w:tabs>
          <w:tab w:leader="none" w:pos="993" w:val="left"/>
          <w:tab w:leader="none" w:pos="1418" w:val="left"/>
        </w:tabs>
        <w:ind w:firstLine="567"/>
        <w:jc w:val="both"/>
      </w:pPr>
      <w:r>
        <w:t xml:space="preserve">Участником отбора обеспечивается наличие согласия субъекта персональных данных (физического лица) на обработку его персональных данных в соответствии </w:t>
      </w:r>
      <w:r>
        <w:br/>
      </w:r>
      <w:r>
        <w:t xml:space="preserve">с Федеральным законом «О персональных данных» при передаче участником отбора </w:t>
      </w:r>
      <w:r>
        <w:br/>
      </w:r>
      <w:r>
        <w:t>в Комитет информации, содержащей персональные данные субъекта персональных данных по форме согласно приложению № 2 к настоящему Перечню.</w:t>
      </w:r>
    </w:p>
    <w:p w14:paraId="B7010000">
      <w:pPr>
        <w:pStyle w:val="Style_4"/>
        <w:widowControl w:val="1"/>
        <w:numPr>
          <w:ilvl w:val="0"/>
          <w:numId w:val="13"/>
        </w:numPr>
        <w:tabs>
          <w:tab w:leader="none" w:pos="1418" w:val="left"/>
        </w:tabs>
        <w:ind w:firstLine="567" w:left="0"/>
        <w:jc w:val="both"/>
      </w:pPr>
      <w:r>
        <w:t>Скан-образы представляемых документов должны соответс</w:t>
      </w:r>
      <w:r>
        <w:t xml:space="preserve">твовать </w:t>
      </w:r>
      <w:r>
        <w:t xml:space="preserve">рекомендуемому формату согласно инструкции, </w:t>
      </w:r>
      <w:r>
        <w:t>размещенно</w:t>
      </w:r>
      <w:r>
        <w:t>й</w:t>
      </w:r>
      <w:r>
        <w:t xml:space="preserve"> в личном кабинете, и иметь качество сканирования, достаточное для осуществления анализа документов. </w:t>
      </w:r>
    </w:p>
    <w:p w14:paraId="B8010000">
      <w:pPr>
        <w:widowControl w:val="1"/>
        <w:tabs>
          <w:tab w:leader="none" w:pos="1418" w:val="left"/>
        </w:tabs>
        <w:ind w:firstLine="567"/>
        <w:jc w:val="center"/>
        <w:rPr>
          <w:strike w:val="1"/>
        </w:rPr>
      </w:pPr>
    </w:p>
    <w:p w14:paraId="B9010000"/>
    <w:p w14:paraId="BA010000">
      <w:pPr>
        <w:sectPr>
          <w:headerReference r:id="rId16" w:type="default"/>
          <w:headerReference r:id="rId6" w:type="first"/>
          <w:headerReference r:id="rId20" w:type="even"/>
          <w:pgSz w:h="16838" w:orient="portrait" w:w="11906"/>
          <w:pgMar w:bottom="1134" w:footer="709" w:gutter="0" w:header="709" w:left="1701" w:right="851" w:top="1134"/>
          <w:pgNumType w:start="1"/>
          <w:titlePg/>
        </w:sectPr>
      </w:pPr>
    </w:p>
    <w:p w14:paraId="BB010000">
      <w:pPr>
        <w:widowControl w:val="1"/>
        <w:ind w:right="-3828"/>
        <w:rPr>
          <w:color w:val="000000"/>
        </w:rPr>
      </w:pPr>
    </w:p>
    <w:tbl>
      <w:tblPr>
        <w:tblStyle w:val="Style_14"/>
        <w:tblW w:type="auto" w:w="0"/>
        <w:tblInd w:type="dxa" w:w="10206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962"/>
        <w:gridCol w:w="6139"/>
      </w:tblGrid>
      <w:tr>
        <w:trPr>
          <w:trHeight w:hRule="atLeast" w:val="2029"/>
        </w:trPr>
        <w:tc>
          <w:tcPr>
            <w:tcW w:type="dxa" w:w="496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C010000">
            <w:pPr>
              <w:rPr>
                <w:b w:val="1"/>
                <w:strike w:val="1"/>
              </w:rPr>
            </w:pPr>
          </w:p>
        </w:tc>
        <w:tc>
          <w:tcPr>
            <w:tcW w:type="dxa" w:w="613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D010000">
            <w:r>
              <w:t>Приложение № 1</w:t>
            </w:r>
          </w:p>
          <w:p w14:paraId="BE010000">
            <w:r>
              <w:t xml:space="preserve">к Перечню документов, представляемых </w:t>
            </w:r>
            <w:r>
              <w:br/>
            </w:r>
            <w:r>
              <w:t xml:space="preserve">в Комитет по промышленной политике, инновациям </w:t>
            </w:r>
            <w:r>
              <w:br/>
            </w:r>
            <w:r>
              <w:t>и торговле Санкт-Петербурга для участия в о</w:t>
            </w:r>
            <w:r>
              <w:t xml:space="preserve">тборе </w:t>
            </w:r>
            <w:r>
              <w:br/>
            </w:r>
            <w:r>
              <w:t>на право получения в 2025</w:t>
            </w:r>
            <w:r>
              <w:t xml:space="preserve"> году субсидии субъектам </w:t>
            </w:r>
          </w:p>
          <w:p w14:paraId="BF010000">
            <w:pPr>
              <w:rPr>
                <w:b w:val="1"/>
                <w:strike w:val="1"/>
              </w:rPr>
            </w:pPr>
            <w:r>
              <w:t xml:space="preserve">малого предпринимательства в сфере промышленности  </w:t>
            </w:r>
            <w:r>
              <w:br/>
            </w:r>
            <w:r>
              <w:t xml:space="preserve">в Санкт-Петербурге в целях возмещения части затрат, связанных с </w:t>
            </w:r>
            <w:r>
              <w:t>подготовкой, переподготовкой и повышением квалификации кадров, и требования к ним</w:t>
            </w:r>
          </w:p>
        </w:tc>
      </w:tr>
    </w:tbl>
    <w:p w14:paraId="C0010000">
      <w:pPr>
        <w:widowControl w:val="1"/>
        <w:ind/>
        <w:jc w:val="right"/>
        <w:rPr>
          <w:b w:val="1"/>
        </w:rPr>
      </w:pPr>
    </w:p>
    <w:p w14:paraId="C1010000">
      <w:pPr>
        <w:widowControl w:val="1"/>
        <w:ind w:left="11199"/>
        <w:jc w:val="right"/>
      </w:pPr>
      <w:r>
        <w:t>(Форма)</w:t>
      </w:r>
    </w:p>
    <w:p w14:paraId="C2010000">
      <w:pPr>
        <w:rPr>
          <w:b w:val="1"/>
        </w:rPr>
      </w:pPr>
    </w:p>
    <w:p w14:paraId="C3010000">
      <w:pPr>
        <w:widowControl w:val="1"/>
        <w:ind/>
        <w:jc w:val="center"/>
        <w:rPr>
          <w:b w:val="1"/>
        </w:rPr>
      </w:pPr>
      <w:r>
        <w:rPr>
          <w:b w:val="1"/>
        </w:rPr>
        <w:t>РАСЧЕТ</w:t>
      </w:r>
    </w:p>
    <w:p w14:paraId="C4010000">
      <w:pPr>
        <w:widowControl w:val="0"/>
        <w:ind w:left="-567" w:right="-852"/>
        <w:jc w:val="center"/>
        <w:rPr>
          <w:b w:val="1"/>
        </w:rPr>
      </w:pPr>
      <w:r>
        <w:rPr>
          <w:b w:val="1"/>
        </w:rPr>
        <w:t xml:space="preserve">размера предоставляемых в 2025 году субсидий субъектам малого предпринимательства в сфере промышленности в Санкт-Петербурге </w:t>
      </w:r>
      <w:r>
        <w:rPr>
          <w:b w:val="1"/>
        </w:rPr>
        <w:br/>
      </w:r>
      <w:r>
        <w:rPr>
          <w:b w:val="1"/>
        </w:rPr>
        <w:t>в целях возмещения части затрат, связанных с подготовкой, переподготовкой и повышением квалификации кадров, и требования к ним</w:t>
      </w:r>
    </w:p>
    <w:p w14:paraId="C5010000">
      <w:pPr>
        <w:rPr>
          <w:b w:val="1"/>
          <w:color w:val="000000"/>
        </w:rPr>
      </w:pPr>
      <w:r>
        <w:rPr>
          <w:b w:val="1"/>
          <w:color w:val="000000"/>
        </w:rPr>
        <w:t xml:space="preserve"> </w:t>
      </w:r>
    </w:p>
    <w:tbl>
      <w:tblPr>
        <w:tblStyle w:val="Style_10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6"/>
        <w:gridCol w:w="1559"/>
        <w:gridCol w:w="1701"/>
        <w:gridCol w:w="1418"/>
        <w:gridCol w:w="853"/>
        <w:gridCol w:w="851"/>
        <w:gridCol w:w="992"/>
        <w:gridCol w:w="851"/>
        <w:gridCol w:w="850"/>
        <w:gridCol w:w="851"/>
        <w:gridCol w:w="850"/>
        <w:gridCol w:w="992"/>
        <w:gridCol w:w="1560"/>
        <w:gridCol w:w="1701"/>
        <w:gridCol w:w="1701"/>
        <w:gridCol w:w="850"/>
        <w:gridCol w:w="1559"/>
        <w:gridCol w:w="1418"/>
      </w:tblGrid>
      <w:tr>
        <w:trPr>
          <w:trHeight w:hRule="atLeast" w:val="2678"/>
        </w:trPr>
        <w:tc>
          <w:tcPr>
            <w:tcW w:type="dxa" w:w="7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widowControl w:val="1"/>
              <w:ind w:firstLine="541" w:left="-541"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№ п/п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 xml:space="preserve">Наименование организации, </w:t>
            </w:r>
            <w:r>
              <w:rPr>
                <w:b w:val="1"/>
                <w:color w:val="000000"/>
                <w:sz w:val="18"/>
              </w:rPr>
              <w:br/>
            </w:r>
            <w:r>
              <w:rPr>
                <w:b w:val="1"/>
                <w:color w:val="000000"/>
                <w:sz w:val="18"/>
              </w:rPr>
              <w:t>с которой заключен ГПД</w:t>
            </w:r>
            <w:r>
              <w:rPr>
                <w:rStyle w:val="Style_11_ch"/>
                <w:b w:val="1"/>
                <w:color w:val="000000"/>
                <w:sz w:val="18"/>
              </w:rPr>
              <w:footnoteReference w:id="3"/>
            </w:r>
          </w:p>
          <w:p w14:paraId="C8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themeColor="text1" w:val="000000"/>
                <w:sz w:val="18"/>
              </w:rPr>
              <w:t>Наименование приобретаемой образовательной программы</w:t>
            </w:r>
            <w:r>
              <w:rPr>
                <w:b w:val="1"/>
                <w:color w:themeColor="text1" w:val="000000"/>
                <w:sz w:val="18"/>
              </w:rPr>
              <w:t xml:space="preserve"> 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Количество учебных часов образовательной программы по ГПД</w:t>
            </w:r>
          </w:p>
        </w:tc>
        <w:tc>
          <w:tcPr>
            <w:tcW w:type="dxa" w:w="17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 xml:space="preserve">Реквизиты ГПД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widowControl w:val="1"/>
              <w:ind/>
              <w:jc w:val="center"/>
              <w:rPr>
                <w:b w:val="1"/>
                <w:color w:val="000000"/>
                <w:sz w:val="18"/>
                <w:u w:val="single"/>
              </w:rPr>
            </w:pPr>
            <w:r>
              <w:rPr>
                <w:b w:val="1"/>
                <w:color w:val="000000"/>
                <w:sz w:val="18"/>
              </w:rPr>
              <w:t>Реквизиты документа, подтверждающего факт оказания услуг по ГПД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Реквизиты счета на оплату услуг по ГПД</w:t>
            </w:r>
          </w:p>
          <w:p w14:paraId="CE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8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 xml:space="preserve">Реквизиты платежного поручения, подтверждающего оплату услуг </w:t>
            </w:r>
            <w:r>
              <w:rPr>
                <w:b w:val="1"/>
                <w:color w:val="000000"/>
                <w:sz w:val="18"/>
              </w:rPr>
              <w:br/>
            </w:r>
            <w:r>
              <w:rPr>
                <w:b w:val="1"/>
                <w:color w:val="000000"/>
                <w:sz w:val="18"/>
              </w:rPr>
              <w:t>по ГПД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 xml:space="preserve">Порядковый номер работника, прошедшего обучение </w:t>
            </w:r>
            <w:r>
              <w:rPr>
                <w:b w:val="1"/>
                <w:color w:val="000000"/>
                <w:sz w:val="18"/>
              </w:rPr>
              <w:br/>
            </w:r>
            <w:r>
              <w:rPr>
                <w:b w:val="1"/>
                <w:color w:val="000000"/>
                <w:sz w:val="18"/>
              </w:rPr>
              <w:t>по ГПД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 xml:space="preserve">Фамилия, имя, отчество (при наличии) работника, прошедшего обучение </w:t>
            </w:r>
            <w:r>
              <w:rPr>
                <w:b w:val="1"/>
                <w:color w:val="000000"/>
                <w:sz w:val="18"/>
              </w:rPr>
              <w:br/>
            </w:r>
            <w:r>
              <w:rPr>
                <w:b w:val="1"/>
                <w:color w:val="000000"/>
                <w:sz w:val="18"/>
              </w:rPr>
              <w:t>по ГПД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 xml:space="preserve">Размер затрат по ГПД </w:t>
            </w:r>
            <w:r>
              <w:rPr>
                <w:b w:val="1"/>
                <w:color w:val="000000"/>
                <w:sz w:val="18"/>
              </w:rPr>
              <w:br/>
            </w:r>
            <w:r>
              <w:rPr>
                <w:b w:val="1"/>
                <w:color w:val="000000"/>
                <w:sz w:val="18"/>
              </w:rPr>
              <w:t>(с учетом НДС), руб.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НДС, руб.</w:t>
            </w:r>
            <w:r>
              <w:rPr>
                <w:b w:val="1"/>
                <w:color w:val="000000"/>
                <w:sz w:val="18"/>
              </w:rPr>
              <w:t xml:space="preserve"> 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 xml:space="preserve">Размер затрат, </w:t>
            </w:r>
            <w:r>
              <w:rPr>
                <w:b w:val="1"/>
                <w:color w:val="000000"/>
                <w:sz w:val="18"/>
              </w:rPr>
              <w:br/>
            </w:r>
            <w:r>
              <w:rPr>
                <w:b w:val="1"/>
                <w:color w:val="000000"/>
                <w:sz w:val="18"/>
              </w:rPr>
              <w:t>в целях возмещения которых предоставляется субсидия (без учета НДС), руб.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Размер субсидии</w:t>
            </w:r>
            <w:r>
              <w:rPr>
                <w:rStyle w:val="Style_11_ch"/>
                <w:b w:val="1"/>
                <w:color w:val="000000"/>
                <w:sz w:val="18"/>
              </w:rPr>
              <w:footnoteReference w:id="4"/>
            </w:r>
            <w:r>
              <w:rPr>
                <w:b w:val="1"/>
                <w:color w:val="000000"/>
                <w:sz w:val="18"/>
              </w:rPr>
              <w:br/>
            </w:r>
            <w:r>
              <w:rPr>
                <w:b w:val="1"/>
                <w:color w:val="000000"/>
                <w:sz w:val="18"/>
              </w:rPr>
              <w:t>(без учета НДС), руб.</w:t>
            </w:r>
          </w:p>
        </w:tc>
      </w:tr>
      <w:tr>
        <w:trPr>
          <w:trHeight w:hRule="atLeast" w:val="420"/>
        </w:trPr>
        <w:tc>
          <w:tcPr>
            <w:tcW w:type="dxa" w:w="7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номер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дата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номер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дата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номер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дата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номер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дата</w:t>
            </w:r>
          </w:p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60"/>
        </w:trPr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4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12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18</w:t>
            </w:r>
          </w:p>
        </w:tc>
      </w:tr>
      <w:tr>
        <w:trPr>
          <w:trHeight w:hRule="atLeast" w:val="252"/>
        </w:trPr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pPr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1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2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2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</w:p>
        </w:tc>
      </w:tr>
      <w:tr>
        <w:trPr>
          <w:trHeight w:hRule="atLeast" w:val="418"/>
        </w:trPr>
        <w:tc>
          <w:tcPr>
            <w:tcW w:type="dxa" w:w="21263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20000">
            <w:pPr>
              <w:widowControl w:val="1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ИТОГО</w:t>
            </w:r>
          </w:p>
        </w:tc>
      </w:tr>
    </w:tbl>
    <w:p w14:paraId="03020000">
      <w:pPr>
        <w:widowControl w:val="1"/>
        <w:ind w:firstLine="425" w:left="142"/>
      </w:pPr>
    </w:p>
    <w:p w14:paraId="04020000"/>
    <w:p w14:paraId="05020000">
      <w:pPr>
        <w:sectPr>
          <w:headerReference r:id="rId9" w:type="default"/>
          <w:headerReference r:id="rId29" w:type="first"/>
          <w:headerReference r:id="rId33" w:type="even"/>
          <w:pgSz w:h="16838" w:orient="landscape" w:w="23811"/>
          <w:pgMar w:bottom="851" w:footer="709" w:gutter="0" w:header="709" w:left="1985" w:right="709" w:top="1135"/>
          <w:pgNumType w:start="1"/>
          <w:titlePg/>
        </w:sectPr>
      </w:pPr>
    </w:p>
    <w:p w14:paraId="06020000">
      <w:pPr>
        <w:widowControl w:val="1"/>
        <w:tabs>
          <w:tab w:leader="none" w:pos="12547" w:val="left"/>
        </w:tabs>
        <w:ind w:left="-5245" w:right="-286"/>
        <w:jc w:val="both"/>
      </w:pPr>
    </w:p>
    <w:p w14:paraId="07020000">
      <w:pPr>
        <w:widowControl w:val="0"/>
        <w:spacing w:line="250" w:lineRule="auto"/>
        <w:ind w:left="4254"/>
      </w:pPr>
      <w:r>
        <w:t xml:space="preserve">Приложение № 2 </w:t>
      </w:r>
    </w:p>
    <w:p w14:paraId="08020000">
      <w:pPr>
        <w:widowControl w:val="0"/>
        <w:spacing w:line="250" w:lineRule="auto"/>
        <w:ind w:left="4254"/>
      </w:pPr>
      <w:r>
        <w:t xml:space="preserve">к Перечню документов, представляемых </w:t>
      </w:r>
    </w:p>
    <w:p w14:paraId="09020000">
      <w:pPr>
        <w:widowControl w:val="0"/>
        <w:spacing w:line="250" w:lineRule="auto"/>
        <w:ind w:left="4254"/>
      </w:pPr>
      <w:r>
        <w:t xml:space="preserve">в Комитет по промышленной политике, инновациям и торговле Санкт-Петербурга </w:t>
      </w:r>
      <w:r>
        <w:br/>
      </w:r>
      <w:r>
        <w:t xml:space="preserve">для участия в отборе на право получения </w:t>
      </w:r>
      <w:r>
        <w:br/>
      </w:r>
      <w:r>
        <w:t xml:space="preserve">в 2025 году субсидии субъектам </w:t>
      </w:r>
      <w:r>
        <w:t xml:space="preserve">малого предпринимательства </w:t>
      </w:r>
      <w:r>
        <w:t>в сфере промышленности в Санкт-Петербурге в целях возм</w:t>
      </w:r>
      <w:r>
        <w:t xml:space="preserve">ещения части затрат, связанных </w:t>
      </w:r>
      <w:r>
        <w:t>с подготовкой, переподготовкой и повышением квалифик</w:t>
      </w:r>
      <w:r>
        <w:t>ации кадров, и требованиям к ним</w:t>
      </w:r>
    </w:p>
    <w:p w14:paraId="0A020000">
      <w:pPr>
        <w:widowControl w:val="0"/>
        <w:ind/>
        <w:jc w:val="center"/>
      </w:pPr>
    </w:p>
    <w:p w14:paraId="0B020000">
      <w:pPr>
        <w:widowControl w:val="0"/>
        <w:ind/>
        <w:jc w:val="right"/>
      </w:pPr>
      <w:r>
        <w:t>(Форма)</w:t>
      </w:r>
    </w:p>
    <w:p w14:paraId="0C020000">
      <w:pPr>
        <w:widowControl w:val="0"/>
        <w:ind/>
        <w:rPr>
          <w:b w:val="1"/>
        </w:rPr>
      </w:pPr>
    </w:p>
    <w:p w14:paraId="0D020000">
      <w:pPr>
        <w:widowControl w:val="0"/>
        <w:ind/>
        <w:jc w:val="center"/>
        <w:rPr>
          <w:b w:val="1"/>
        </w:rPr>
      </w:pPr>
      <w:r>
        <w:rPr>
          <w:b w:val="1"/>
        </w:rPr>
        <w:t>СОГЛАСИЕ</w:t>
      </w:r>
    </w:p>
    <w:p w14:paraId="0E020000">
      <w:pPr>
        <w:widowControl w:val="0"/>
        <w:ind/>
        <w:jc w:val="center"/>
        <w:rPr>
          <w:i w:val="1"/>
        </w:rPr>
      </w:pPr>
      <w:r>
        <w:rPr>
          <w:b w:val="1"/>
        </w:rPr>
        <w:t>на обработку персональных данных</w:t>
      </w:r>
    </w:p>
    <w:p w14:paraId="0F020000">
      <w:pPr>
        <w:widowControl w:val="0"/>
        <w:ind/>
        <w:jc w:val="center"/>
      </w:pPr>
    </w:p>
    <w:tbl>
      <w:tblPr>
        <w:tblStyle w:val="Style_10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4"/>
        <w:gridCol w:w="579"/>
        <w:gridCol w:w="1814"/>
        <w:gridCol w:w="993"/>
        <w:gridCol w:w="585"/>
        <w:gridCol w:w="4660"/>
        <w:gridCol w:w="283"/>
      </w:tblGrid>
      <w:tr>
        <w:tc>
          <w:tcPr>
            <w:tcW w:type="dxa" w:w="58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20000">
            <w:pPr>
              <w:widowControl w:val="1"/>
              <w:ind/>
              <w:jc w:val="both"/>
            </w:pPr>
            <w:bookmarkStart w:id="5" w:name="P588"/>
            <w:bookmarkEnd w:id="5"/>
            <w:r>
              <w:t>Я,</w:t>
            </w:r>
          </w:p>
        </w:tc>
        <w:tc>
          <w:tcPr>
            <w:tcW w:type="dxa" w:w="8631"/>
            <w:gridSpan w:val="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20000">
            <w:pPr>
              <w:widowControl w:val="1"/>
              <w:ind/>
              <w:jc w:val="both"/>
            </w:pPr>
          </w:p>
        </w:tc>
        <w:tc>
          <w:tcPr>
            <w:tcW w:type="dxa" w:w="2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20000">
            <w:pPr>
              <w:widowControl w:val="1"/>
              <w:ind/>
              <w:jc w:val="both"/>
            </w:pPr>
            <w:r>
              <w:t>,</w:t>
            </w:r>
          </w:p>
        </w:tc>
      </w:tr>
      <w:tr>
        <w:tc>
          <w:tcPr>
            <w:tcW w:type="dxa" w:w="58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20000">
            <w:pPr>
              <w:widowControl w:val="1"/>
              <w:ind/>
              <w:jc w:val="both"/>
            </w:pPr>
          </w:p>
        </w:tc>
        <w:tc>
          <w:tcPr>
            <w:tcW w:type="dxa" w:w="8631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ф</w:t>
            </w:r>
            <w:r>
              <w:rPr>
                <w:sz w:val="20"/>
              </w:rPr>
              <w:t>амилия, имя, отчество (последнее – при наличии)</w:t>
            </w:r>
          </w:p>
          <w:p w14:paraId="1502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2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20000">
            <w:pPr>
              <w:widowControl w:val="1"/>
              <w:ind/>
              <w:jc w:val="both"/>
            </w:pPr>
          </w:p>
        </w:tc>
      </w:tr>
      <w:tr>
        <w:tc>
          <w:tcPr>
            <w:tcW w:type="dxa" w:w="1163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20000">
            <w:pPr>
              <w:widowControl w:val="1"/>
              <w:ind/>
              <w:jc w:val="both"/>
            </w:pPr>
            <w:r>
              <w:t>паспорт</w:t>
            </w:r>
          </w:p>
        </w:tc>
        <w:tc>
          <w:tcPr>
            <w:tcW w:type="dxa" w:w="181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20000">
            <w:pPr>
              <w:widowControl w:val="1"/>
              <w:ind/>
              <w:jc w:val="both"/>
            </w:pPr>
          </w:p>
        </w:tc>
        <w:tc>
          <w:tcPr>
            <w:tcW w:type="dxa" w:w="99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20000">
            <w:pPr>
              <w:widowControl w:val="1"/>
              <w:ind/>
              <w:jc w:val="both"/>
            </w:pPr>
            <w:r>
              <w:t>выдан</w:t>
            </w:r>
          </w:p>
        </w:tc>
        <w:tc>
          <w:tcPr>
            <w:tcW w:type="dxa" w:w="5245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20000">
            <w:pPr>
              <w:widowControl w:val="1"/>
              <w:ind/>
              <w:jc w:val="both"/>
            </w:pPr>
          </w:p>
        </w:tc>
        <w:tc>
          <w:tcPr>
            <w:tcW w:type="dxa" w:w="2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20000">
            <w:pPr>
              <w:widowControl w:val="1"/>
              <w:ind/>
              <w:jc w:val="both"/>
            </w:pPr>
            <w:r>
              <w:t>,</w:t>
            </w:r>
          </w:p>
        </w:tc>
      </w:tr>
      <w:tr>
        <w:tc>
          <w:tcPr>
            <w:tcW w:type="dxa" w:w="1163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20000">
            <w:pPr>
              <w:widowControl w:val="1"/>
              <w:ind/>
              <w:jc w:val="both"/>
            </w:pPr>
          </w:p>
        </w:tc>
        <w:tc>
          <w:tcPr>
            <w:tcW w:type="dxa" w:w="1814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ерия, номер)</w:t>
            </w:r>
          </w:p>
        </w:tc>
        <w:tc>
          <w:tcPr>
            <w:tcW w:type="dxa" w:w="99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20000">
            <w:pPr>
              <w:widowControl w:val="1"/>
              <w:ind/>
              <w:jc w:val="both"/>
              <w:rPr>
                <w:sz w:val="20"/>
              </w:rPr>
            </w:pPr>
          </w:p>
        </w:tc>
        <w:tc>
          <w:tcPr>
            <w:tcW w:type="dxa" w:w="5245"/>
            <w:gridSpan w:val="2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>огда и кем выдан)</w:t>
            </w:r>
          </w:p>
        </w:tc>
        <w:tc>
          <w:tcPr>
            <w:tcW w:type="dxa" w:w="2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20000">
            <w:pPr>
              <w:widowControl w:val="1"/>
              <w:ind/>
              <w:jc w:val="both"/>
            </w:pPr>
          </w:p>
        </w:tc>
      </w:tr>
      <w:tr>
        <w:tc>
          <w:tcPr>
            <w:tcW w:type="dxa" w:w="4555"/>
            <w:gridSpan w:val="5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20000">
            <w:pPr>
              <w:widowControl w:val="1"/>
              <w:ind/>
              <w:jc w:val="both"/>
            </w:pPr>
            <w:r>
              <w:t>адрес регистрации по месту жительства:</w:t>
            </w:r>
          </w:p>
        </w:tc>
        <w:tc>
          <w:tcPr>
            <w:tcW w:type="dxa" w:w="466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20000">
            <w:pPr>
              <w:widowControl w:val="1"/>
              <w:ind/>
              <w:jc w:val="both"/>
            </w:pPr>
          </w:p>
        </w:tc>
        <w:tc>
          <w:tcPr>
            <w:tcW w:type="dxa" w:w="2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20000">
            <w:pPr>
              <w:widowControl w:val="1"/>
              <w:ind/>
              <w:jc w:val="both"/>
            </w:pPr>
            <w:r>
              <w:t>,</w:t>
            </w:r>
          </w:p>
        </w:tc>
      </w:tr>
      <w:tr>
        <w:tc>
          <w:tcPr>
            <w:tcW w:type="dxa" w:w="2977"/>
            <w:gridSpan w:val="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20000">
            <w:pPr>
              <w:widowControl w:val="1"/>
              <w:ind/>
              <w:jc w:val="both"/>
            </w:pPr>
            <w:r>
              <w:t>контактная информация</w:t>
            </w:r>
          </w:p>
        </w:tc>
        <w:tc>
          <w:tcPr>
            <w:tcW w:type="dxa" w:w="6238"/>
            <w:gridSpan w:val="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20000">
            <w:pPr>
              <w:widowControl w:val="1"/>
              <w:ind/>
              <w:jc w:val="both"/>
            </w:pPr>
          </w:p>
        </w:tc>
        <w:tc>
          <w:tcPr>
            <w:tcW w:type="dxa" w:w="2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20000">
            <w:pPr>
              <w:widowControl w:val="1"/>
              <w:ind/>
              <w:jc w:val="both"/>
            </w:pPr>
            <w:r>
              <w:t>,</w:t>
            </w:r>
          </w:p>
        </w:tc>
      </w:tr>
      <w:tr>
        <w:tc>
          <w:tcPr>
            <w:tcW w:type="dxa" w:w="2977"/>
            <w:gridSpan w:val="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20000">
            <w:pPr>
              <w:widowControl w:val="1"/>
              <w:ind/>
              <w:jc w:val="both"/>
              <w:rPr>
                <w:sz w:val="20"/>
              </w:rPr>
            </w:pPr>
          </w:p>
        </w:tc>
        <w:tc>
          <w:tcPr>
            <w:tcW w:type="dxa" w:w="6238"/>
            <w:gridSpan w:val="3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омер телефона, адрес электронной почты или почтовый адрес)</w:t>
            </w:r>
          </w:p>
        </w:tc>
        <w:tc>
          <w:tcPr>
            <w:tcW w:type="dxa" w:w="2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20000">
            <w:pPr>
              <w:widowControl w:val="1"/>
              <w:ind/>
              <w:jc w:val="both"/>
            </w:pPr>
          </w:p>
        </w:tc>
      </w:tr>
    </w:tbl>
    <w:p w14:paraId="2A020000">
      <w:pPr>
        <w:widowControl w:val="1"/>
        <w:ind/>
        <w:jc w:val="both"/>
      </w:pPr>
      <w:r>
        <w:t>настоящим даю согласие на обработку Комитетом по промышленной политике, инновациям и торговле Санкт-Петербурга (191144, Санкт-Петербург</w:t>
      </w:r>
      <w:r>
        <w:t xml:space="preserve">, улица Новгородская, </w:t>
      </w:r>
      <w:r>
        <w:t>д.</w:t>
      </w:r>
      <w:r>
        <w:t xml:space="preserve"> </w:t>
      </w:r>
      <w:r>
        <w:t xml:space="preserve">20, литера А, помещение 2-Н, ИНН: 7838482852, ОГРН 1127847621110, https://cipit.gov.spb.ru/) (далее – Комитет), </w:t>
      </w:r>
      <w:r>
        <w:t>и органами государственного финансового контроля в пределах своих полномочий, связанных с предоставлением</w:t>
      </w:r>
      <w:r>
        <w:t xml:space="preserve"> следующих данных</w:t>
      </w:r>
      <w:r>
        <w:t xml:space="preserve"> (далее – персональные данные)</w:t>
      </w:r>
      <w:r>
        <w:t>:</w:t>
      </w:r>
    </w:p>
    <w:p w14:paraId="2B020000">
      <w:pPr>
        <w:widowControl w:val="1"/>
        <w:ind w:firstLine="567"/>
        <w:jc w:val="both"/>
      </w:pPr>
      <w:r>
        <w:t>фамилия, имя и отчество (при наличии);</w:t>
      </w:r>
    </w:p>
    <w:p w14:paraId="2C020000">
      <w:pPr>
        <w:widowControl w:val="1"/>
        <w:ind w:firstLine="567"/>
        <w:jc w:val="both"/>
      </w:pPr>
      <w:r>
        <w:t xml:space="preserve">номер и серия документа, удостоверяющего личность, сведения о дате его выдачи </w:t>
      </w:r>
      <w:r>
        <w:br/>
      </w:r>
      <w:r>
        <w:t>и выдавшем органе;</w:t>
      </w:r>
    </w:p>
    <w:p w14:paraId="2D020000">
      <w:pPr>
        <w:widowControl w:val="1"/>
        <w:ind w:firstLine="567"/>
        <w:jc w:val="both"/>
      </w:pPr>
      <w:r>
        <w:t>год, месяц, дата и место рождения;</w:t>
      </w:r>
    </w:p>
    <w:p w14:paraId="2E020000">
      <w:pPr>
        <w:widowControl w:val="1"/>
        <w:ind w:firstLine="567"/>
        <w:jc w:val="both"/>
      </w:pPr>
      <w:r>
        <w:t xml:space="preserve">иная информация, относящаяся к персональным данным в соответствии </w:t>
      </w:r>
      <w:r>
        <w:br/>
      </w:r>
      <w:r>
        <w:t>с законодательством Российской Федерации (далее – персональные данные), необходимая в целях проверки соблюдения условий и порядка предоставления в 202</w:t>
      </w:r>
      <w:r>
        <w:t>5</w:t>
      </w:r>
      <w:r>
        <w:t xml:space="preserve"> году субсидий субъектам малого предпринимательства в сфере промышленности в Санкт-Петербурге </w:t>
      </w:r>
      <w:r>
        <w:br/>
      </w:r>
      <w:r>
        <w:t xml:space="preserve">в целях возмещения части затрат, связанных с </w:t>
      </w:r>
      <w:r>
        <w:t xml:space="preserve">подготовкой, переподготовкой </w:t>
      </w:r>
      <w:r>
        <w:br/>
      </w:r>
      <w:r>
        <w:t>и повышением квалификации кадров</w:t>
      </w:r>
      <w:r>
        <w:t>.</w:t>
      </w:r>
    </w:p>
    <w:p w14:paraId="2F020000">
      <w:pPr>
        <w:widowControl w:val="1"/>
        <w:ind w:firstLine="567"/>
        <w:jc w:val="both"/>
      </w:pPr>
      <w:r>
        <w:t xml:space="preserve">Настоящее согласие предоставляется мной на осуществление действий </w:t>
      </w:r>
      <w:r>
        <w:br/>
      </w:r>
      <w:r>
        <w:t xml:space="preserve">в отношении моих персональных данных, которые необходимы для достижения указанных </w:t>
      </w:r>
      <w:r>
        <w:br/>
      </w:r>
      <w:r>
        <w:t xml:space="preserve">целей проверки, включая (без ограничения) сбор, систематизацию, накопление, </w:t>
      </w:r>
      <w:r>
        <w:br/>
      </w:r>
      <w:r>
        <w:t xml:space="preserve">хранение, уточнение (обновление, изменение), использование, передачу третьим лицам </w:t>
      </w:r>
      <w:r>
        <w:br/>
      </w:r>
      <w:r>
        <w:t>для осуществления действий по обмену информацией, обезличивание, а также осуществление любых иных действий, предусмотренных действующим законодательством Российской Федерации.</w:t>
      </w:r>
    </w:p>
    <w:p w14:paraId="30020000">
      <w:pPr>
        <w:widowControl w:val="1"/>
        <w:ind w:firstLine="567"/>
        <w:jc w:val="both"/>
      </w:pPr>
      <w:r>
        <w:t xml:space="preserve">Я проинформирован, что Комитет </w:t>
      </w:r>
      <w:r>
        <w:t xml:space="preserve">и орган государственного финансового контроля гарантируют обработку моих персональных данных в соответствии с действующим законодательством Российской Федерации как неавтоматизированным, </w:t>
      </w:r>
      <w:r>
        <w:br/>
      </w:r>
      <w:r>
        <w:t>так и автоматизированным способами.</w:t>
      </w:r>
    </w:p>
    <w:p w14:paraId="31020000">
      <w:pPr>
        <w:widowControl w:val="1"/>
        <w:ind w:firstLine="567"/>
        <w:jc w:val="both"/>
      </w:pPr>
      <w:r>
        <w:t xml:space="preserve">Данное согласие действует до достижения целей обработки персональных данных </w:t>
      </w:r>
      <w:r>
        <w:br/>
      </w:r>
      <w:r>
        <w:t>или в течение срока хранения информации.</w:t>
      </w:r>
    </w:p>
    <w:p w14:paraId="32020000">
      <w:pPr>
        <w:widowControl w:val="1"/>
        <w:ind w:firstLine="567"/>
        <w:jc w:val="both"/>
      </w:pPr>
      <w:r>
        <w:t>Данное согласие может быть отозвано в любой момент по моему письменному заявлению.</w:t>
      </w:r>
    </w:p>
    <w:p w14:paraId="33020000">
      <w:pPr>
        <w:widowControl w:val="1"/>
        <w:ind w:firstLine="567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 w14:paraId="34020000">
      <w:pPr>
        <w:widowControl w:val="1"/>
        <w:ind w:firstLine="567"/>
        <w:jc w:val="both"/>
      </w:pPr>
      <w: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&lt;*&gt;: ________________________________________.</w:t>
      </w:r>
    </w:p>
    <w:p w14:paraId="35020000">
      <w:pPr>
        <w:widowControl w:val="1"/>
        <w:ind w:firstLine="567"/>
        <w:jc w:val="both"/>
      </w:pPr>
      <w: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&lt;*&gt;</w:t>
      </w:r>
      <w:r>
        <w:t>:</w:t>
      </w:r>
    </w:p>
    <w:p w14:paraId="36020000">
      <w:pPr>
        <w:widowControl w:val="1"/>
        <w:ind/>
        <w:jc w:val="both"/>
      </w:pPr>
      <w:r>
        <w:t>____________________________________________</w:t>
      </w:r>
    </w:p>
    <w:p w14:paraId="37020000">
      <w:pPr>
        <w:widowControl w:val="1"/>
        <w:ind w:firstLine="567"/>
        <w:jc w:val="both"/>
      </w:pPr>
    </w:p>
    <w:p w14:paraId="38020000">
      <w:pPr>
        <w:widowControl w:val="1"/>
        <w:ind w:firstLine="567"/>
        <w:jc w:val="both"/>
      </w:pPr>
      <w:r>
        <w:t>Срок действия настоящего согласия – 1 год с даты подачи заявления, если не указан иной срок.</w:t>
      </w:r>
    </w:p>
    <w:p w14:paraId="39020000">
      <w:pPr>
        <w:widowControl w:val="1"/>
        <w:ind w:firstLine="567"/>
        <w:jc w:val="both"/>
      </w:pPr>
      <w:r>
        <w:t>Указать иной срок действия согласия на обработку персональных данных &lt;*&gt;:</w:t>
      </w:r>
    </w:p>
    <w:p w14:paraId="3A020000">
      <w:pPr>
        <w:widowControl w:val="1"/>
        <w:spacing w:before="120"/>
        <w:ind/>
      </w:pPr>
      <w:r>
        <w:t>_____________________________________________________________________________</w:t>
      </w:r>
    </w:p>
    <w:p w14:paraId="3B020000">
      <w:pPr>
        <w:widowControl w:val="1"/>
        <w:ind w:firstLine="567"/>
        <w:jc w:val="both"/>
      </w:pPr>
    </w:p>
    <w:p w14:paraId="3C020000">
      <w:pPr>
        <w:widowControl w:val="1"/>
        <w:ind w:firstLine="567"/>
        <w:jc w:val="both"/>
      </w:pPr>
    </w:p>
    <w:tbl>
      <w:tblPr>
        <w:tblStyle w:val="Style_10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1936"/>
        <w:gridCol w:w="3347"/>
        <w:gridCol w:w="385"/>
        <w:gridCol w:w="3685"/>
      </w:tblGrid>
      <w:tr>
        <w:tc>
          <w:tcPr>
            <w:tcW w:type="dxa" w:w="1936"/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34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20000">
            <w:pPr>
              <w:widowControl w:val="1"/>
              <w:ind/>
              <w:jc w:val="both"/>
            </w:pPr>
          </w:p>
        </w:tc>
        <w:tc>
          <w:tcPr>
            <w:tcW w:type="dxa" w:w="385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20000">
            <w:pPr>
              <w:widowControl w:val="1"/>
              <w:ind/>
              <w:jc w:val="both"/>
            </w:pPr>
          </w:p>
        </w:tc>
        <w:tc>
          <w:tcPr>
            <w:tcW w:type="dxa" w:w="3685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20000">
            <w:pPr>
              <w:widowControl w:val="1"/>
              <w:ind/>
              <w:jc w:val="both"/>
            </w:pPr>
          </w:p>
        </w:tc>
      </w:tr>
      <w:tr>
        <w:tc>
          <w:tcPr>
            <w:tcW w:type="dxa" w:w="1936"/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347"/>
            <w:tcBorders>
              <w:top w:color="000000" w:sz="4" w:val="single"/>
              <w:left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20000">
            <w:pPr>
              <w:widowControl w:val="1"/>
              <w:ind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(Подпись)</w:t>
            </w:r>
            <w:r>
              <w:rPr>
                <w:sz w:val="20"/>
                <w:vertAlign w:val="superscript"/>
              </w:rPr>
              <w:t xml:space="preserve"> </w:t>
            </w:r>
            <w:r>
              <w:t>**</w:t>
            </w:r>
          </w:p>
        </w:tc>
        <w:tc>
          <w:tcPr>
            <w:tcW w:type="dxa" w:w="385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2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3685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 подписи)</w:t>
            </w:r>
          </w:p>
        </w:tc>
      </w:tr>
    </w:tbl>
    <w:p w14:paraId="43020000"/>
    <w:p w14:paraId="4402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&lt;*&gt; Заполняется по желанию субъекта персональных данных.</w:t>
      </w:r>
    </w:p>
    <w:p w14:paraId="4502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&lt;**&gt; Проставляется собственноручная подпись лица, предоставившего персональные данные.</w:t>
      </w:r>
    </w:p>
    <w:p w14:paraId="46020000">
      <w:pPr>
        <w:widowControl w:val="1"/>
        <w:ind w:firstLine="567"/>
      </w:pPr>
    </w:p>
    <w:p w14:paraId="47020000">
      <w:pPr>
        <w:widowControl w:val="1"/>
        <w:ind w:firstLine="567"/>
      </w:pPr>
    </w:p>
    <w:p w14:paraId="48020000">
      <w:pPr>
        <w:widowControl w:val="1"/>
        <w:ind w:firstLine="567"/>
      </w:pPr>
    </w:p>
    <w:p w14:paraId="49020000">
      <w:pPr>
        <w:widowControl w:val="1"/>
        <w:ind w:firstLine="567"/>
      </w:pPr>
    </w:p>
    <w:p w14:paraId="4A020000">
      <w:pPr>
        <w:widowControl w:val="1"/>
        <w:ind w:firstLine="567"/>
      </w:pPr>
    </w:p>
    <w:p w14:paraId="4B020000">
      <w:pPr>
        <w:widowControl w:val="1"/>
        <w:ind w:firstLine="567"/>
      </w:pPr>
    </w:p>
    <w:p w14:paraId="4C020000">
      <w:pPr>
        <w:widowControl w:val="1"/>
        <w:ind w:firstLine="567"/>
      </w:pPr>
    </w:p>
    <w:p w14:paraId="4D020000">
      <w:pPr>
        <w:widowControl w:val="1"/>
        <w:ind w:firstLine="567"/>
      </w:pPr>
    </w:p>
    <w:p w14:paraId="4E020000">
      <w:pPr>
        <w:widowControl w:val="1"/>
        <w:ind w:firstLine="567"/>
      </w:pPr>
    </w:p>
    <w:p w14:paraId="4F020000">
      <w:pPr>
        <w:widowControl w:val="1"/>
        <w:ind w:firstLine="567"/>
      </w:pPr>
    </w:p>
    <w:p w14:paraId="50020000">
      <w:pPr>
        <w:widowControl w:val="1"/>
        <w:ind w:firstLine="567"/>
      </w:pPr>
    </w:p>
    <w:p w14:paraId="51020000">
      <w:pPr>
        <w:widowControl w:val="1"/>
        <w:ind w:firstLine="567"/>
      </w:pPr>
    </w:p>
    <w:p w14:paraId="52020000">
      <w:pPr>
        <w:widowControl w:val="1"/>
        <w:ind w:firstLine="567"/>
      </w:pPr>
    </w:p>
    <w:p w14:paraId="53020000">
      <w:pPr>
        <w:widowControl w:val="1"/>
        <w:ind w:firstLine="567"/>
      </w:pPr>
    </w:p>
    <w:p w14:paraId="54020000">
      <w:pPr>
        <w:widowControl w:val="1"/>
        <w:ind w:firstLine="567"/>
      </w:pPr>
    </w:p>
    <w:p w14:paraId="55020000">
      <w:pPr>
        <w:sectPr>
          <w:headerReference r:id="rId15" w:type="default"/>
          <w:headerReference r:id="rId26" w:type="first"/>
          <w:headerReference r:id="rId31" w:type="even"/>
          <w:pgSz w:h="16838" w:orient="portrait" w:w="11906"/>
          <w:pgMar w:bottom="1134" w:footer="709" w:gutter="0" w:header="709" w:left="1701" w:right="851" w:top="1134"/>
          <w:pgNumType w:start="1"/>
          <w:titlePg/>
        </w:sectPr>
      </w:pPr>
    </w:p>
    <w:p w14:paraId="56020000">
      <w:pPr>
        <w:widowControl w:val="0"/>
        <w:ind w:firstLine="424" w:left="4254"/>
      </w:pPr>
      <w:r>
        <w:t>Приложение № 3</w:t>
      </w:r>
    </w:p>
    <w:p w14:paraId="57020000">
      <w:pPr>
        <w:widowControl w:val="1"/>
        <w:ind w:left="4678"/>
        <w:rPr>
          <w:b w:val="1"/>
        </w:rPr>
      </w:pPr>
      <w:r>
        <w:t>к Порядку предоставления в 2025 году субсидий</w:t>
      </w:r>
      <w:r>
        <w:t xml:space="preserve"> </w:t>
      </w:r>
      <w:r>
        <w:t>субъектам малого предпринима</w:t>
      </w:r>
      <w:r>
        <w:t>тельства в сфере промышленности</w:t>
      </w:r>
      <w:r>
        <w:t xml:space="preserve"> в Санкт-Петербурге </w:t>
      </w:r>
      <w:r>
        <w:br/>
      </w:r>
      <w:r>
        <w:t>в целях возмещения</w:t>
      </w:r>
      <w:r>
        <w:t xml:space="preserve"> части затрат, связанных </w:t>
      </w:r>
      <w:r>
        <w:br/>
      </w:r>
      <w:r>
        <w:t xml:space="preserve">с подготовкой, переподготовкой </w:t>
      </w:r>
      <w:r>
        <w:br/>
      </w:r>
      <w:r>
        <w:t>и повышением квалификации кадров</w:t>
      </w:r>
    </w:p>
    <w:p w14:paraId="58020000"/>
    <w:p w14:paraId="59020000">
      <w:pPr>
        <w:widowControl w:val="1"/>
        <w:ind/>
        <w:jc w:val="center"/>
      </w:pPr>
    </w:p>
    <w:p w14:paraId="5A020000">
      <w:pPr>
        <w:widowControl w:val="0"/>
        <w:ind/>
        <w:jc w:val="center"/>
        <w:rPr>
          <w:b w:val="1"/>
        </w:rPr>
      </w:pPr>
      <w:r>
        <w:rPr>
          <w:b w:val="1"/>
        </w:rPr>
        <w:t>ПЕРЕЧЕНЬ</w:t>
      </w:r>
    </w:p>
    <w:p w14:paraId="5B020000">
      <w:pPr>
        <w:widowControl w:val="0"/>
        <w:ind/>
        <w:jc w:val="center"/>
        <w:rPr>
          <w:b w:val="1"/>
        </w:rPr>
      </w:pPr>
      <w:r>
        <w:rPr>
          <w:b w:val="1"/>
        </w:rPr>
        <w:t xml:space="preserve">отчетных документов, требования к ним, а также </w:t>
      </w:r>
      <w:r>
        <w:rPr>
          <w:b w:val="1"/>
        </w:rPr>
        <w:br/>
      </w:r>
      <w:r>
        <w:rPr>
          <w:b w:val="1"/>
        </w:rPr>
        <w:t>порядок проверки отчетности</w:t>
      </w:r>
      <w:r>
        <w:rPr>
          <w:b w:val="1"/>
        </w:rPr>
        <w:t xml:space="preserve"> и отчетных документов</w:t>
      </w:r>
    </w:p>
    <w:p w14:paraId="5C020000">
      <w:pPr>
        <w:widowControl w:val="0"/>
        <w:ind/>
        <w:jc w:val="center"/>
        <w:rPr>
          <w:b w:val="1"/>
        </w:rPr>
      </w:pPr>
    </w:p>
    <w:p w14:paraId="5D020000">
      <w:pPr>
        <w:widowControl w:val="1"/>
        <w:numPr>
          <w:ilvl w:val="0"/>
          <w:numId w:val="14"/>
        </w:numPr>
        <w:tabs>
          <w:tab w:leader="none" w:pos="993" w:val="left"/>
        </w:tabs>
        <w:ind w:firstLine="567" w:left="0"/>
        <w:jc w:val="both"/>
      </w:pPr>
      <w:r>
        <w:t xml:space="preserve">Получателем субсидии в соответствии с </w:t>
      </w:r>
      <w:r>
        <w:t>пунктом 5.1</w:t>
      </w:r>
      <w:r>
        <w:t xml:space="preserve"> Порядка предоставления </w:t>
      </w:r>
      <w:r>
        <w:br/>
      </w:r>
      <w:r>
        <w:t xml:space="preserve">в 2025 году субсидий субъектам </w:t>
      </w:r>
      <w:r>
        <w:t>малого предпринимательства</w:t>
      </w:r>
      <w:r>
        <w:t xml:space="preserve"> в сфере промышленности </w:t>
      </w:r>
      <w:r>
        <w:br/>
      </w:r>
      <w:r>
        <w:t xml:space="preserve">в Санкт-Петербурге в целях возмещения части затрат, связанных с подготовкой, переподготовкой и повышением квалификации кадров, утвержденного настоящим постановлением (далее соответственно – Порядок, субсидии), к отчетности, представляемой в Комитет по промышленной политике, инновациям и торговле </w:t>
      </w:r>
      <w:r>
        <w:br/>
      </w:r>
      <w:r>
        <w:t>Санкт-Петербурга (далее – Комитет) посредством Автоматизи</w:t>
      </w:r>
      <w:r>
        <w:t xml:space="preserve">рованной информационной системы – </w:t>
      </w:r>
      <w:r>
        <w:t>электронное казначейство (далее – АИС БП-ЭК), прилагаются скан-образы следующих отчетных документов (при наличии технической возможности):</w:t>
      </w:r>
    </w:p>
    <w:p w14:paraId="5E020000">
      <w:pPr>
        <w:pStyle w:val="Style_4"/>
        <w:widowControl w:val="0"/>
        <w:numPr>
          <w:ilvl w:val="1"/>
          <w:numId w:val="15"/>
        </w:numPr>
        <w:tabs>
          <w:tab w:leader="none" w:pos="993" w:val="left"/>
        </w:tabs>
        <w:ind w:firstLine="567" w:left="0"/>
        <w:jc w:val="both"/>
      </w:pPr>
      <w:r>
        <w:t xml:space="preserve">Справки получателя субсидии по форме в соответствии с приложением </w:t>
      </w:r>
      <w:r>
        <w:br/>
      </w:r>
      <w:r>
        <w:t>к настоящему Перечню.</w:t>
      </w:r>
    </w:p>
    <w:p w14:paraId="5F020000">
      <w:pPr>
        <w:pStyle w:val="Style_4"/>
        <w:widowControl w:val="0"/>
        <w:numPr>
          <w:ilvl w:val="1"/>
          <w:numId w:val="15"/>
        </w:numPr>
        <w:tabs>
          <w:tab w:leader="none" w:pos="993" w:val="left"/>
        </w:tabs>
        <w:ind w:firstLine="567" w:left="0"/>
        <w:jc w:val="both"/>
      </w:pPr>
      <w:r>
        <w:t xml:space="preserve">Расчета сумм налога на доходы физических лиц, исчисленных и удержанных налоговым агентом (форма 6-НДФЛ) и расчета по страховым взносам по формам, утвержденным Федеральной налоговой службы Российской Федерации (без разделов, содержащих персональные данные физических лиц) с отметками налогового органа, </w:t>
      </w:r>
      <w:r>
        <w:br/>
      </w:r>
      <w:r>
        <w:t>за 2025 год.</w:t>
      </w:r>
    </w:p>
    <w:p w14:paraId="60020000">
      <w:pPr>
        <w:pStyle w:val="Style_4"/>
        <w:widowControl w:val="0"/>
        <w:numPr>
          <w:ilvl w:val="1"/>
          <w:numId w:val="15"/>
        </w:numPr>
        <w:tabs>
          <w:tab w:leader="none" w:pos="993" w:val="left"/>
        </w:tabs>
        <w:ind w:firstLine="567" w:left="0"/>
        <w:jc w:val="both"/>
      </w:pPr>
      <w:r>
        <w:t xml:space="preserve">Справки получателя субсидии в свободной форме о том, что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</w:t>
      </w:r>
      <w:r>
        <w:br/>
      </w:r>
      <w:r>
        <w:t xml:space="preserve">в соответствии со статьей 139 Трудового кодекса Российской Федерации, был за период </w:t>
      </w:r>
      <w:r>
        <w:br/>
      </w:r>
      <w:r>
        <w:t xml:space="preserve">со дня принятия решения о предоставлении субсидии до даты, по состоянию на которую получателем субсидии сформирована отчетность о достижении значений результата </w:t>
      </w:r>
      <w:r>
        <w:br/>
      </w:r>
      <w:r>
        <w:t xml:space="preserve">и характеристик,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>
        <w:br/>
      </w:r>
      <w:r>
        <w:t xml:space="preserve">в Санкт-Петербурге на соответствующий период. </w:t>
      </w:r>
    </w:p>
    <w:p w14:paraId="61020000">
      <w:pPr>
        <w:pStyle w:val="Style_4"/>
        <w:widowControl w:val="0"/>
        <w:numPr>
          <w:ilvl w:val="0"/>
          <w:numId w:val="14"/>
        </w:numPr>
        <w:tabs>
          <w:tab w:leader="none" w:pos="993" w:val="left"/>
          <w:tab w:leader="none" w:pos="1134" w:val="left"/>
        </w:tabs>
        <w:ind w:firstLine="567" w:left="0"/>
        <w:jc w:val="both"/>
      </w:pPr>
      <w:bookmarkStart w:id="6" w:name="P601"/>
      <w:bookmarkEnd w:id="6"/>
      <w:r>
        <w:t>Отчетность и отчетные документы помимо имеющихся в них реквизитных подписей (при наличии) также заверяются усиленной квалифицированной электронной подписью лица, подающего отчетность и отчетные документы.</w:t>
      </w:r>
    </w:p>
    <w:p w14:paraId="62020000">
      <w:pPr>
        <w:widowControl w:val="1"/>
        <w:tabs>
          <w:tab w:leader="none" w:pos="1276" w:val="left"/>
        </w:tabs>
        <w:ind w:firstLine="567"/>
        <w:contextualSpacing w:val="1"/>
        <w:jc w:val="both"/>
      </w:pPr>
      <w:r>
        <w:t xml:space="preserve">Если отчетность и отчетные документы подаются лицом, действующим от имени </w:t>
      </w:r>
      <w:r>
        <w:br/>
      </w:r>
      <w:r>
        <w:t xml:space="preserve">и в интересах получателя субсидии на основании доверенности или иного документа </w:t>
      </w:r>
      <w:r>
        <w:br/>
      </w:r>
      <w:r>
        <w:t>в соответствии с уставом получателя субсидии и(или) законодательством Российской Федерации, подтверждающего полномочия этого лица на совершение соответствующих действий, также представляется скан-образ соответствующего уполномочивающего документа.</w:t>
      </w:r>
    </w:p>
    <w:p w14:paraId="63020000">
      <w:pPr>
        <w:widowControl w:val="1"/>
        <w:tabs>
          <w:tab w:leader="none" w:pos="1134" w:val="left"/>
        </w:tabs>
        <w:ind w:firstLine="567"/>
        <w:jc w:val="both"/>
        <w:rPr>
          <w:i w:val="1"/>
        </w:rPr>
      </w:pPr>
      <w:r>
        <w:t xml:space="preserve">Скан-образы представляемых отчетных документов должны соответствовать рекомендуемым форматам согласно инструкции, размещенной в АИС БП-ЭК, и иметь качество сканирования, достаточное для осуществления их анализа. </w:t>
      </w:r>
    </w:p>
    <w:p w14:paraId="64020000">
      <w:pPr>
        <w:pStyle w:val="Style_4"/>
        <w:widowControl w:val="0"/>
        <w:numPr>
          <w:ilvl w:val="0"/>
          <w:numId w:val="14"/>
        </w:numPr>
        <w:tabs>
          <w:tab w:leader="none" w:pos="993" w:val="left"/>
          <w:tab w:leader="none" w:pos="1134" w:val="left"/>
        </w:tabs>
        <w:ind w:firstLine="567" w:left="0"/>
        <w:jc w:val="both"/>
      </w:pPr>
      <w:r>
        <w:t xml:space="preserve">Проверка отчетности и отчетных документов в соответствии </w:t>
      </w:r>
      <w:r>
        <w:t>с пунктом 5.5</w:t>
      </w:r>
      <w:r>
        <w:t xml:space="preserve"> </w:t>
      </w:r>
      <w:r>
        <w:t xml:space="preserve">Порядка осуществляется </w:t>
      </w:r>
      <w:r>
        <w:t xml:space="preserve">отделом развития </w:t>
      </w:r>
      <w:r>
        <w:t>инфраструктуры малого и среднего предпринимательства Управления развития инфраструктуры</w:t>
      </w:r>
      <w:r>
        <w:t xml:space="preserve"> Комитета на предмет</w:t>
      </w:r>
      <w:r>
        <w:t xml:space="preserve">: </w:t>
      </w:r>
    </w:p>
    <w:p w14:paraId="65020000">
      <w:pPr>
        <w:widowControl w:val="1"/>
        <w:tabs>
          <w:tab w:leader="none" w:pos="1134" w:val="left"/>
        </w:tabs>
        <w:ind w:firstLine="567"/>
        <w:jc w:val="both"/>
      </w:pPr>
      <w:r>
        <w:t>полноты представления отчетности и правильности ее оформления (правильность оформления означает, что информация, внесенная в разделы формы отчетности, подлежащие заполнению, должна соответствовать им по смыслу);</w:t>
      </w:r>
    </w:p>
    <w:p w14:paraId="66020000">
      <w:pPr>
        <w:widowControl w:val="1"/>
        <w:tabs>
          <w:tab w:leader="none" w:pos="1134" w:val="left"/>
        </w:tabs>
        <w:ind w:firstLine="567"/>
        <w:jc w:val="both"/>
      </w:pPr>
      <w:r>
        <w:t xml:space="preserve">соответствия отчетных документов настоящему Перечню и соблюдения требований </w:t>
      </w:r>
      <w:r>
        <w:br/>
      </w:r>
      <w:r>
        <w:t xml:space="preserve">к ним, установленных в настоящем Перечне. </w:t>
      </w:r>
    </w:p>
    <w:p w14:paraId="67020000">
      <w:pPr>
        <w:widowControl w:val="1"/>
        <w:tabs>
          <w:tab w:leader="none" w:pos="1134" w:val="left"/>
        </w:tabs>
        <w:ind w:firstLine="567"/>
        <w:jc w:val="both"/>
      </w:pPr>
      <w:r>
        <w:t xml:space="preserve">В случае наличия при проведении проверки отчетности и отчетных документов замечаний соответствующая информация отражается в уведомлении о замечаниях, подготавливаемом в соответствии с </w:t>
      </w:r>
      <w:r>
        <w:t>пунктом 6.3 Порядка, а также в акте проведения проверки, подготавливаемом в соответствии с пунктом 6.2</w:t>
      </w:r>
      <w:r>
        <w:t xml:space="preserve"> Порядка.</w:t>
      </w:r>
    </w:p>
    <w:p w14:paraId="68020000">
      <w:pPr>
        <w:widowControl w:val="1"/>
        <w:tabs>
          <w:tab w:leader="none" w:pos="1134" w:val="left"/>
        </w:tabs>
        <w:ind w:left="567"/>
        <w:contextualSpacing w:val="1"/>
        <w:jc w:val="both"/>
      </w:pPr>
    </w:p>
    <w:p w14:paraId="69020000">
      <w:pPr>
        <w:widowControl w:val="1"/>
        <w:ind w:firstLine="567"/>
        <w:jc w:val="both"/>
      </w:pPr>
      <w:r>
        <w:t>Примечание.</w:t>
      </w:r>
    </w:p>
    <w:p w14:paraId="6A020000">
      <w:pPr>
        <w:widowControl w:val="0"/>
        <w:ind w:firstLine="567"/>
        <w:jc w:val="both"/>
      </w:pPr>
      <w:r>
        <w:t>Получателем субсидии обеспечивается наличие согласия субъекта персональных данных (физического лица) на обр</w:t>
      </w:r>
      <w:r>
        <w:t xml:space="preserve">аботку его персональных данных </w:t>
      </w:r>
      <w:r>
        <w:t xml:space="preserve">в соответствии </w:t>
      </w:r>
      <w:r>
        <w:br/>
      </w:r>
      <w:r>
        <w:t xml:space="preserve">с Федеральным </w:t>
      </w:r>
      <w:r>
        <w:fldChar w:fldCharType="begin"/>
      </w:r>
      <w:r>
        <w:instrText>HYPERLINK "consultantplus://offline/ref=0C7DB132F805BBE020F9CB7DCD15418B2B48A2A7261C964DF69204A55B25BF82417E99D9853CDD58BCDD24E3361BHAR"</w:instrText>
      </w:r>
      <w:r>
        <w:fldChar w:fldCharType="separate"/>
      </w:r>
      <w:r>
        <w:t>законом</w:t>
      </w:r>
      <w:r>
        <w:fldChar w:fldCharType="end"/>
      </w:r>
      <w:r>
        <w:t xml:space="preserve"> «О персональных данных» при передаче получателем субсидии информации, содержащей персональные данные субъекта персональных данных, </w:t>
      </w:r>
      <w:r>
        <w:br/>
      </w:r>
      <w:r>
        <w:t xml:space="preserve">в Комитет. </w:t>
      </w:r>
    </w:p>
    <w:p w14:paraId="6B020000">
      <w:pPr>
        <w:sectPr>
          <w:headerReference r:id="rId7" w:type="default"/>
          <w:headerReference r:id="rId22" w:type="first"/>
          <w:headerReference r:id="rId1" w:type="even"/>
          <w:pgSz w:h="16838" w:orient="portrait" w:w="11906"/>
          <w:pgMar w:bottom="1134" w:footer="709" w:gutter="0" w:header="709" w:left="1701" w:right="851" w:top="1134"/>
          <w:pgNumType w:start="1"/>
          <w:titlePg/>
        </w:sectPr>
      </w:pPr>
    </w:p>
    <w:p w14:paraId="6C020000">
      <w:pPr>
        <w:widowControl w:val="0"/>
        <w:ind w:left="8647"/>
      </w:pPr>
      <w:r>
        <w:t>Приложение к Перечню отчетных документов, требования к ним, а также порядку проверки отчетности и отчетных документов</w:t>
      </w:r>
    </w:p>
    <w:p w14:paraId="6D020000">
      <w:pPr>
        <w:widowControl w:val="0"/>
        <w:ind w:left="5670"/>
      </w:pPr>
    </w:p>
    <w:p w14:paraId="6E020000">
      <w:pPr>
        <w:widowControl w:val="0"/>
        <w:ind w:left="5670"/>
      </w:pPr>
    </w:p>
    <w:p w14:paraId="6F020000">
      <w:pPr>
        <w:widowControl w:val="1"/>
        <w:ind/>
        <w:jc w:val="center"/>
        <w:rPr>
          <w:b w:val="1"/>
        </w:rPr>
      </w:pPr>
    </w:p>
    <w:p w14:paraId="70020000">
      <w:pPr>
        <w:widowControl w:val="1"/>
        <w:ind/>
        <w:jc w:val="center"/>
        <w:rPr>
          <w:b w:val="1"/>
          <w:sz w:val="20"/>
        </w:rPr>
      </w:pPr>
      <w:r>
        <w:rPr>
          <w:b w:val="1"/>
        </w:rPr>
        <w:t>СПРАВКА</w:t>
      </w:r>
    </w:p>
    <w:p w14:paraId="71020000">
      <w:pPr>
        <w:widowControl w:val="1"/>
        <w:ind/>
        <w:jc w:val="center"/>
        <w:rPr>
          <w:b w:val="1"/>
        </w:rPr>
      </w:pPr>
      <w:r>
        <w:rPr>
          <w:b w:val="1"/>
        </w:rPr>
        <w:t>по работникам, завершивши</w:t>
      </w:r>
      <w:r>
        <w:rPr>
          <w:b w:val="1"/>
        </w:rPr>
        <w:t xml:space="preserve">м </w:t>
      </w:r>
      <w:r>
        <w:rPr>
          <w:b w:val="1"/>
        </w:rPr>
        <w:t xml:space="preserve">в </w:t>
      </w:r>
      <w:r>
        <w:rPr>
          <w:b w:val="1"/>
        </w:rPr>
        <w:t xml:space="preserve">период с </w:t>
      </w:r>
      <w:r>
        <w:rPr>
          <w:b w:val="1"/>
        </w:rPr>
        <w:t xml:space="preserve">01.07.2024 </w:t>
      </w:r>
      <w:r>
        <w:rPr>
          <w:b w:val="1"/>
        </w:rPr>
        <w:br/>
      </w:r>
      <w:r>
        <w:rPr>
          <w:b w:val="1"/>
        </w:rPr>
        <w:t>по 30.06.2025</w:t>
      </w:r>
      <w:r>
        <w:rPr>
          <w:b w:val="1"/>
        </w:rPr>
        <w:t xml:space="preserve"> </w:t>
      </w:r>
      <w:r>
        <w:rPr>
          <w:b w:val="1"/>
        </w:rPr>
        <w:t xml:space="preserve">обучение по программа подготовки, переподготовки и повышения </w:t>
      </w:r>
      <w:r>
        <w:rPr>
          <w:b w:val="1"/>
        </w:rPr>
        <w:br/>
      </w:r>
      <w:r>
        <w:rPr>
          <w:b w:val="1"/>
        </w:rPr>
        <w:t>квалификации кадров</w:t>
      </w:r>
      <w:r>
        <w:rPr>
          <w:b w:val="1"/>
        </w:rPr>
        <w:t xml:space="preserve">(далее – обучение) </w:t>
      </w:r>
    </w:p>
    <w:p w14:paraId="72020000">
      <w:pPr>
        <w:widowControl w:val="1"/>
        <w:ind/>
        <w:jc w:val="center"/>
      </w:pPr>
    </w:p>
    <w:p w14:paraId="73020000">
      <w:pPr>
        <w:widowControl w:val="0"/>
        <w:ind/>
        <w:jc w:val="center"/>
        <w:rPr>
          <w:b w:val="1"/>
        </w:rPr>
      </w:pPr>
      <w:r>
        <w:rPr>
          <w:b w:val="1"/>
        </w:rPr>
        <w:t>Общие сведения</w:t>
      </w:r>
    </w:p>
    <w:p w14:paraId="74020000">
      <w:pPr>
        <w:widowControl w:val="1"/>
        <w:ind/>
        <w:jc w:val="center"/>
      </w:pPr>
    </w:p>
    <w:tbl>
      <w:tblPr>
        <w:tblStyle w:val="Style_14"/>
        <w:tblW w:type="auto" w:w="0"/>
        <w:tblInd w:type="dxa" w:w="108"/>
        <w:tblLayout w:type="fixed"/>
      </w:tblPr>
      <w:tblGrid>
        <w:gridCol w:w="1872"/>
        <w:gridCol w:w="2268"/>
        <w:gridCol w:w="1701"/>
        <w:gridCol w:w="1843"/>
        <w:gridCol w:w="1701"/>
        <w:gridCol w:w="2749"/>
        <w:gridCol w:w="2750"/>
      </w:tblGrid>
      <w:tr>
        <w:trPr>
          <w:trHeight w:hRule="atLeast" w:val="697"/>
        </w:trPr>
        <w:tc>
          <w:tcPr>
            <w:tcW w:type="dxa" w:w="1872"/>
            <w:vMerge w:val="restart"/>
            <w:vAlign w:val="center"/>
          </w:tcPr>
          <w:p w14:paraId="75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Выручка,</w:t>
            </w:r>
            <w:r>
              <w:rPr>
                <w:b w:val="1"/>
                <w:sz w:val="18"/>
              </w:rPr>
              <w:t xml:space="preserve"> рублей.</w:t>
            </w:r>
          </w:p>
        </w:tc>
        <w:tc>
          <w:tcPr>
            <w:tcW w:type="dxa" w:w="2268"/>
            <w:vMerge w:val="restart"/>
            <w:vAlign w:val="center"/>
          </w:tcPr>
          <w:p w14:paraId="76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Среднесписочная численность работников организации – получателя субсидии</w:t>
            </w:r>
            <w:r>
              <w:rPr>
                <w:b w:val="1"/>
                <w:sz w:val="18"/>
              </w:rPr>
              <w:br/>
            </w:r>
            <w:r>
              <w:rPr>
                <w:b w:val="1"/>
                <w:sz w:val="18"/>
              </w:rPr>
              <w:t>на 31.12.2025, чел.</w:t>
            </w:r>
          </w:p>
        </w:tc>
        <w:tc>
          <w:tcPr>
            <w:tcW w:type="dxa" w:w="5245"/>
            <w:gridSpan w:val="3"/>
            <w:vAlign w:val="center"/>
          </w:tcPr>
          <w:p w14:paraId="77020000">
            <w:pPr>
              <w:widowControl w:val="0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Количество работников,</w:t>
            </w:r>
          </w:p>
          <w:p w14:paraId="78020000">
            <w:pPr>
              <w:widowControl w:val="0"/>
              <w:ind/>
              <w:jc w:val="center"/>
              <w:rPr>
                <w:sz w:val="18"/>
              </w:rPr>
            </w:pPr>
            <w:r>
              <w:rPr>
                <w:b w:val="1"/>
                <w:sz w:val="18"/>
              </w:rPr>
              <w:t>прошедших обучение (получивших консультирование)</w:t>
            </w:r>
          </w:p>
        </w:tc>
        <w:tc>
          <w:tcPr>
            <w:tcW w:type="dxa" w:w="2749"/>
            <w:vMerge w:val="restart"/>
            <w:vAlign w:val="center"/>
          </w:tcPr>
          <w:p w14:paraId="79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Доля работников, </w:t>
            </w:r>
            <w:r>
              <w:rPr>
                <w:b w:val="1"/>
                <w:sz w:val="18"/>
              </w:rPr>
              <w:br/>
            </w:r>
            <w:r>
              <w:rPr>
                <w:b w:val="1"/>
                <w:sz w:val="18"/>
              </w:rPr>
              <w:t>прошедших обучение в отчетном периоде, %</w:t>
            </w:r>
          </w:p>
        </w:tc>
        <w:tc>
          <w:tcPr>
            <w:tcW w:type="dxa" w:w="2750"/>
            <w:vMerge w:val="restart"/>
            <w:vAlign w:val="center"/>
          </w:tcPr>
          <w:p w14:paraId="7A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Затраты на обучение работников, рублей</w:t>
            </w:r>
          </w:p>
        </w:tc>
      </w:tr>
      <w:tr>
        <w:trPr>
          <w:trHeight w:hRule="atLeast" w:val="2029"/>
        </w:trPr>
        <w:tc>
          <w:tcPr>
            <w:tcW w:type="dxa" w:w="1872"/>
            <w:gridSpan w:val="1"/>
            <w:vMerge w:val="continue"/>
            <w:vAlign w:val="center"/>
          </w:tcPr>
          <w:p/>
        </w:tc>
        <w:tc>
          <w:tcPr>
            <w:tcW w:type="dxa" w:w="2268"/>
            <w:gridSpan w:val="1"/>
            <w:vMerge w:val="continue"/>
            <w:vAlign w:val="center"/>
          </w:tcPr>
          <w:p/>
        </w:tc>
        <w:tc>
          <w:tcPr>
            <w:tcW w:type="dxa" w:w="1701"/>
            <w:vAlign w:val="center"/>
          </w:tcPr>
          <w:p w14:paraId="7B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2024 г.</w:t>
            </w:r>
          </w:p>
        </w:tc>
        <w:tc>
          <w:tcPr>
            <w:tcW w:type="dxa" w:w="1843"/>
            <w:vAlign w:val="center"/>
          </w:tcPr>
          <w:p w14:paraId="7C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2025 г.</w:t>
            </w:r>
          </w:p>
        </w:tc>
        <w:tc>
          <w:tcPr>
            <w:tcW w:type="dxa" w:w="1701"/>
            <w:vAlign w:val="center"/>
          </w:tcPr>
          <w:p w14:paraId="7D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ИТОГО</w:t>
            </w:r>
          </w:p>
        </w:tc>
        <w:tc>
          <w:tcPr>
            <w:tcW w:type="dxa" w:w="2749"/>
            <w:gridSpan w:val="1"/>
            <w:vMerge w:val="continue"/>
            <w:vAlign w:val="center"/>
          </w:tcPr>
          <w:p/>
        </w:tc>
        <w:tc>
          <w:tcPr>
            <w:tcW w:type="dxa" w:w="2750"/>
            <w:gridSpan w:val="1"/>
            <w:vMerge w:val="continue"/>
            <w:vAlign w:val="center"/>
          </w:tcPr>
          <w:p/>
        </w:tc>
      </w:tr>
      <w:tr>
        <w:trPr>
          <w:trHeight w:hRule="atLeast" w:val="326"/>
        </w:trPr>
        <w:tc>
          <w:tcPr>
            <w:tcW w:type="dxa" w:w="1872"/>
            <w:vAlign w:val="center"/>
          </w:tcPr>
          <w:p w14:paraId="7E02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type="dxa" w:w="2268"/>
            <w:vAlign w:val="center"/>
          </w:tcPr>
          <w:p w14:paraId="7F02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type="dxa" w:w="1701"/>
            <w:vAlign w:val="center"/>
          </w:tcPr>
          <w:p w14:paraId="8002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</w:t>
            </w:r>
          </w:p>
        </w:tc>
        <w:tc>
          <w:tcPr>
            <w:tcW w:type="dxa" w:w="1843"/>
            <w:vAlign w:val="center"/>
          </w:tcPr>
          <w:p w14:paraId="8102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</w:t>
            </w:r>
          </w:p>
        </w:tc>
        <w:tc>
          <w:tcPr>
            <w:tcW w:type="dxa" w:w="1701"/>
            <w:vAlign w:val="center"/>
          </w:tcPr>
          <w:p w14:paraId="8202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5=3+4</w:t>
            </w:r>
          </w:p>
        </w:tc>
        <w:tc>
          <w:tcPr>
            <w:tcW w:type="dxa" w:w="2749"/>
            <w:vAlign w:val="center"/>
          </w:tcPr>
          <w:p w14:paraId="8302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6=5/2</w:t>
            </w:r>
          </w:p>
        </w:tc>
        <w:tc>
          <w:tcPr>
            <w:tcW w:type="dxa" w:w="2750"/>
            <w:vAlign w:val="center"/>
          </w:tcPr>
          <w:p w14:paraId="8402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7</w:t>
            </w:r>
          </w:p>
        </w:tc>
      </w:tr>
      <w:tr>
        <w:trPr>
          <w:trHeight w:hRule="atLeast" w:val="415"/>
        </w:trPr>
        <w:tc>
          <w:tcPr>
            <w:tcW w:type="dxa" w:w="1872"/>
            <w:vAlign w:val="center"/>
          </w:tcPr>
          <w:p w14:paraId="85020000">
            <w:pPr>
              <w:widowControl w:val="1"/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2268"/>
            <w:vAlign w:val="center"/>
          </w:tcPr>
          <w:p w14:paraId="86020000">
            <w:pPr>
              <w:widowControl w:val="1"/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701"/>
            <w:vAlign w:val="center"/>
          </w:tcPr>
          <w:p w14:paraId="87020000">
            <w:pPr>
              <w:widowControl w:val="1"/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843"/>
            <w:vAlign w:val="center"/>
          </w:tcPr>
          <w:p w14:paraId="88020000">
            <w:pPr>
              <w:widowControl w:val="1"/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701"/>
            <w:vAlign w:val="center"/>
          </w:tcPr>
          <w:p w14:paraId="89020000">
            <w:pPr>
              <w:widowControl w:val="1"/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2749"/>
            <w:vAlign w:val="center"/>
          </w:tcPr>
          <w:p w14:paraId="8A020000">
            <w:pPr>
              <w:widowControl w:val="1"/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2750"/>
            <w:vAlign w:val="center"/>
          </w:tcPr>
          <w:p w14:paraId="8B020000">
            <w:pPr>
              <w:widowControl w:val="1"/>
              <w:ind/>
              <w:jc w:val="center"/>
              <w:rPr>
                <w:b w:val="1"/>
                <w:sz w:val="20"/>
              </w:rPr>
            </w:pPr>
          </w:p>
        </w:tc>
      </w:tr>
    </w:tbl>
    <w:p w14:paraId="8C020000">
      <w:pPr>
        <w:widowControl w:val="1"/>
        <w:ind/>
        <w:jc w:val="center"/>
      </w:pPr>
      <w:r>
        <w:br w:type="page"/>
      </w:r>
    </w:p>
    <w:p w14:paraId="8D020000">
      <w:pPr>
        <w:widowControl w:val="1"/>
        <w:ind/>
        <w:jc w:val="center"/>
        <w:rPr>
          <w:b w:val="1"/>
        </w:rPr>
      </w:pPr>
      <w:r>
        <w:rPr>
          <w:b w:val="1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2771140</wp:posOffset>
                </wp:positionH>
                <wp:positionV relativeFrom="paragraph">
                  <wp:posOffset>-9055100</wp:posOffset>
                </wp:positionV>
                <wp:extent cx="723900" cy="333375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23900" cy="33337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bodyPr anchor="ctr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</w:rPr>
        <w:t xml:space="preserve">Перечень документов, подтверждающих </w:t>
      </w:r>
      <w:r>
        <w:rPr>
          <w:b w:val="1"/>
        </w:rPr>
        <w:br/>
      </w:r>
      <w:r>
        <w:rPr>
          <w:b w:val="1"/>
        </w:rPr>
        <w:t>прохождение работниками обучения</w:t>
      </w:r>
    </w:p>
    <w:p w14:paraId="8E02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 </w:t>
      </w:r>
    </w:p>
    <w:p w14:paraId="8F020000">
      <w:pPr>
        <w:rPr>
          <w:b w:val="1"/>
        </w:rPr>
      </w:pPr>
    </w:p>
    <w:tbl>
      <w:tblPr>
        <w:tblStyle w:val="Style_14"/>
        <w:tblpPr w:bottomFromText="0" w:horzAnchor="page" w:leftFromText="180" w:rightFromText="180" w:tblpX="936" w:tblpY="-3" w:topFromText="0" w:vertAnchor="text"/>
        <w:tblW w:type="auto" w:w="0"/>
        <w:tblLayout w:type="fixed"/>
      </w:tblPr>
      <w:tblGrid>
        <w:gridCol w:w="534"/>
        <w:gridCol w:w="3289"/>
        <w:gridCol w:w="1417"/>
        <w:gridCol w:w="1418"/>
        <w:gridCol w:w="1417"/>
        <w:gridCol w:w="1276"/>
        <w:gridCol w:w="1276"/>
        <w:gridCol w:w="1275"/>
        <w:gridCol w:w="1843"/>
        <w:gridCol w:w="1337"/>
      </w:tblGrid>
      <w:tr>
        <w:trPr>
          <w:trHeight w:hRule="atLeast" w:val="1830"/>
        </w:trPr>
        <w:tc>
          <w:tcPr>
            <w:tcW w:type="dxa" w:w="534"/>
            <w:vMerge w:val="restart"/>
            <w:vAlign w:val="center"/>
          </w:tcPr>
          <w:p w14:paraId="90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№ п/п</w:t>
            </w:r>
          </w:p>
        </w:tc>
        <w:tc>
          <w:tcPr>
            <w:tcW w:type="dxa" w:w="3289"/>
            <w:vMerge w:val="restart"/>
            <w:vAlign w:val="center"/>
          </w:tcPr>
          <w:p w14:paraId="91020000">
            <w:pPr>
              <w:widowControl w:val="1"/>
              <w:ind/>
              <w:jc w:val="center"/>
              <w:rPr>
                <w:b w:val="1"/>
                <w:strike w:val="1"/>
                <w:sz w:val="18"/>
              </w:rPr>
            </w:pPr>
            <w:r>
              <w:rPr>
                <w:b w:val="1"/>
                <w:sz w:val="18"/>
              </w:rPr>
              <w:t>Наименование</w:t>
            </w:r>
          </w:p>
          <w:p w14:paraId="92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организации, предоставившей образовательные услуги </w:t>
            </w:r>
          </w:p>
        </w:tc>
        <w:tc>
          <w:tcPr>
            <w:tcW w:type="dxa" w:w="2835"/>
            <w:gridSpan w:val="2"/>
            <w:vAlign w:val="center"/>
          </w:tcPr>
          <w:p w14:paraId="93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Реквизиты договора </w:t>
            </w:r>
          </w:p>
          <w:p w14:paraId="9402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на оказание образовательных услуг</w:t>
            </w:r>
          </w:p>
        </w:tc>
        <w:tc>
          <w:tcPr>
            <w:tcW w:type="dxa" w:w="2693"/>
            <w:gridSpan w:val="2"/>
            <w:vAlign w:val="center"/>
          </w:tcPr>
          <w:p w14:paraId="95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Реквизиты внутреннего документа организации – получателя субсидии, предусматривающего направление работников </w:t>
            </w:r>
            <w:r>
              <w:rPr>
                <w:b w:val="1"/>
                <w:sz w:val="18"/>
              </w:rPr>
              <w:br/>
            </w:r>
            <w:r>
              <w:rPr>
                <w:b w:val="1"/>
                <w:sz w:val="18"/>
              </w:rPr>
              <w:t xml:space="preserve">на обучение </w:t>
            </w:r>
            <w:r>
              <w:rPr>
                <w:b w:val="1"/>
                <w:sz w:val="18"/>
              </w:rPr>
              <w:br/>
            </w:r>
            <w:r>
              <w:rPr>
                <w:b w:val="1"/>
                <w:sz w:val="18"/>
              </w:rPr>
              <w:t>(при наличии)</w:t>
            </w:r>
          </w:p>
        </w:tc>
        <w:tc>
          <w:tcPr>
            <w:tcW w:type="dxa" w:w="2551"/>
            <w:gridSpan w:val="2"/>
            <w:vAlign w:val="center"/>
          </w:tcPr>
          <w:p w14:paraId="96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Реквизиты документа, подтверждающего факт оказания образовательных услуг (акт сдачи-приемки)</w:t>
            </w:r>
            <w:r>
              <w:rPr>
                <w:rStyle w:val="Style_11_ch"/>
                <w:b w:val="1"/>
                <w:sz w:val="18"/>
              </w:rPr>
              <w:footnoteReference w:id="5"/>
            </w:r>
          </w:p>
        </w:tc>
        <w:tc>
          <w:tcPr>
            <w:tcW w:type="dxa" w:w="1843"/>
            <w:vMerge w:val="restart"/>
            <w:vAlign w:val="center"/>
          </w:tcPr>
          <w:p w14:paraId="97020000">
            <w:pPr>
              <w:widowControl w:val="1"/>
              <w:tabs>
                <w:tab w:leader="none" w:pos="8222" w:val="left"/>
              </w:tabs>
              <w:ind w:left="-45"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Количество работников, прошедших обучение</w:t>
            </w:r>
          </w:p>
        </w:tc>
        <w:tc>
          <w:tcPr>
            <w:tcW w:type="dxa" w:w="1337"/>
            <w:vMerge w:val="restart"/>
            <w:vAlign w:val="center"/>
          </w:tcPr>
          <w:p w14:paraId="98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Примечание</w:t>
            </w:r>
          </w:p>
        </w:tc>
      </w:tr>
      <w:tr>
        <w:trPr>
          <w:trHeight w:hRule="atLeast" w:val="70"/>
        </w:trPr>
        <w:tc>
          <w:tcPr>
            <w:tcW w:type="dxa" w:w="534"/>
            <w:gridSpan w:val="1"/>
            <w:vMerge w:val="continue"/>
            <w:vAlign w:val="center"/>
          </w:tcPr>
          <w:p/>
        </w:tc>
        <w:tc>
          <w:tcPr>
            <w:tcW w:type="dxa" w:w="3289"/>
            <w:gridSpan w:val="1"/>
            <w:vMerge w:val="continue"/>
            <w:vAlign w:val="center"/>
          </w:tcPr>
          <w:p/>
        </w:tc>
        <w:tc>
          <w:tcPr>
            <w:tcW w:type="dxa" w:w="1417"/>
            <w:vAlign w:val="center"/>
          </w:tcPr>
          <w:p w14:paraId="99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дата</w:t>
            </w:r>
          </w:p>
        </w:tc>
        <w:tc>
          <w:tcPr>
            <w:tcW w:type="dxa" w:w="1418"/>
            <w:vAlign w:val="center"/>
          </w:tcPr>
          <w:p w14:paraId="9A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номер</w:t>
            </w:r>
          </w:p>
        </w:tc>
        <w:tc>
          <w:tcPr>
            <w:tcW w:type="dxa" w:w="1417"/>
            <w:vAlign w:val="center"/>
          </w:tcPr>
          <w:p w14:paraId="9B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дата</w:t>
            </w:r>
          </w:p>
        </w:tc>
        <w:tc>
          <w:tcPr>
            <w:tcW w:type="dxa" w:w="1276"/>
            <w:vAlign w:val="center"/>
          </w:tcPr>
          <w:p w14:paraId="9C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номер</w:t>
            </w:r>
          </w:p>
        </w:tc>
        <w:tc>
          <w:tcPr>
            <w:tcW w:type="dxa" w:w="1276"/>
            <w:vAlign w:val="center"/>
          </w:tcPr>
          <w:p w14:paraId="9D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дата</w:t>
            </w:r>
          </w:p>
        </w:tc>
        <w:tc>
          <w:tcPr>
            <w:tcW w:type="dxa" w:w="1275"/>
            <w:vAlign w:val="center"/>
          </w:tcPr>
          <w:p w14:paraId="9E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номер</w:t>
            </w:r>
          </w:p>
        </w:tc>
        <w:tc>
          <w:tcPr>
            <w:tcW w:type="dxa" w:w="1843"/>
            <w:gridSpan w:val="1"/>
            <w:vMerge w:val="continue"/>
            <w:vAlign w:val="center"/>
          </w:tcPr>
          <w:p/>
        </w:tc>
        <w:tc>
          <w:tcPr>
            <w:tcW w:type="dxa" w:w="1337"/>
            <w:gridSpan w:val="1"/>
            <w:vMerge w:val="continue"/>
            <w:vAlign w:val="center"/>
          </w:tcPr>
          <w:p/>
        </w:tc>
      </w:tr>
      <w:tr>
        <w:tc>
          <w:tcPr>
            <w:tcW w:type="dxa" w:w="534"/>
            <w:vAlign w:val="center"/>
          </w:tcPr>
          <w:p w14:paraId="9F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3289"/>
            <w:vAlign w:val="center"/>
          </w:tcPr>
          <w:p w14:paraId="A0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1417"/>
            <w:vAlign w:val="center"/>
          </w:tcPr>
          <w:p w14:paraId="A1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1418"/>
            <w:vAlign w:val="center"/>
          </w:tcPr>
          <w:p w14:paraId="A2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1417"/>
            <w:vAlign w:val="center"/>
          </w:tcPr>
          <w:p w14:paraId="A3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</w:p>
        </w:tc>
        <w:tc>
          <w:tcPr>
            <w:tcW w:type="dxa" w:w="1276"/>
            <w:vAlign w:val="center"/>
          </w:tcPr>
          <w:p w14:paraId="A4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6</w:t>
            </w:r>
          </w:p>
        </w:tc>
        <w:tc>
          <w:tcPr>
            <w:tcW w:type="dxa" w:w="1276"/>
            <w:vAlign w:val="center"/>
          </w:tcPr>
          <w:p w14:paraId="A5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7</w:t>
            </w:r>
          </w:p>
        </w:tc>
        <w:tc>
          <w:tcPr>
            <w:tcW w:type="dxa" w:w="1275"/>
            <w:vAlign w:val="center"/>
          </w:tcPr>
          <w:p w14:paraId="A6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8</w:t>
            </w:r>
          </w:p>
        </w:tc>
        <w:tc>
          <w:tcPr>
            <w:tcW w:type="dxa" w:w="1843"/>
            <w:vAlign w:val="center"/>
          </w:tcPr>
          <w:p w14:paraId="A7020000">
            <w:pPr>
              <w:widowControl w:val="1"/>
              <w:tabs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9</w:t>
            </w:r>
          </w:p>
        </w:tc>
        <w:tc>
          <w:tcPr>
            <w:tcW w:type="dxa" w:w="1337"/>
            <w:vAlign w:val="center"/>
          </w:tcPr>
          <w:p w14:paraId="A8020000">
            <w:pPr>
              <w:widowControl w:val="1"/>
              <w:tabs>
                <w:tab w:leader="none" w:pos="780" w:val="left"/>
                <w:tab w:leader="none" w:pos="1065" w:val="center"/>
                <w:tab w:leader="none" w:pos="8222" w:val="left"/>
              </w:tabs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10</w:t>
            </w:r>
          </w:p>
        </w:tc>
      </w:tr>
      <w:tr>
        <w:trPr>
          <w:trHeight w:hRule="atLeast" w:val="271"/>
        </w:trPr>
        <w:tc>
          <w:tcPr>
            <w:tcW w:type="dxa" w:w="534"/>
            <w:vAlign w:val="center"/>
          </w:tcPr>
          <w:p w14:paraId="A9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3289"/>
            <w:vAlign w:val="center"/>
          </w:tcPr>
          <w:p w14:paraId="AA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417"/>
            <w:vAlign w:val="center"/>
          </w:tcPr>
          <w:p w14:paraId="AB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418"/>
            <w:vAlign w:val="center"/>
          </w:tcPr>
          <w:p w14:paraId="AC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417"/>
            <w:vAlign w:val="center"/>
          </w:tcPr>
          <w:p w14:paraId="AD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276"/>
            <w:vAlign w:val="center"/>
          </w:tcPr>
          <w:p w14:paraId="AE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276"/>
            <w:vAlign w:val="center"/>
          </w:tcPr>
          <w:p w14:paraId="AF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275"/>
            <w:vAlign w:val="center"/>
          </w:tcPr>
          <w:p w14:paraId="B0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843"/>
            <w:vAlign w:val="center"/>
          </w:tcPr>
          <w:p w14:paraId="B1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337"/>
            <w:vAlign w:val="center"/>
          </w:tcPr>
          <w:p w14:paraId="B2020000">
            <w:pPr>
              <w:widowControl w:val="0"/>
              <w:ind/>
              <w:jc w:val="center"/>
              <w:rPr>
                <w:sz w:val="18"/>
              </w:rPr>
            </w:pPr>
          </w:p>
        </w:tc>
      </w:tr>
      <w:tr>
        <w:trPr>
          <w:trHeight w:hRule="atLeast" w:val="330"/>
        </w:trPr>
        <w:tc>
          <w:tcPr>
            <w:tcW w:type="dxa" w:w="11902"/>
            <w:gridSpan w:val="8"/>
            <w:vAlign w:val="center"/>
          </w:tcPr>
          <w:p w14:paraId="B3020000">
            <w:pPr>
              <w:widowControl w:val="0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ИТОГО</w:t>
            </w:r>
          </w:p>
        </w:tc>
        <w:tc>
          <w:tcPr>
            <w:tcW w:type="dxa" w:w="1843"/>
            <w:vAlign w:val="center"/>
          </w:tcPr>
          <w:p w14:paraId="B402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337"/>
            <w:vAlign w:val="center"/>
          </w:tcPr>
          <w:p w14:paraId="B5020000">
            <w:pPr>
              <w:widowControl w:val="0"/>
              <w:ind/>
              <w:jc w:val="center"/>
              <w:rPr>
                <w:sz w:val="18"/>
              </w:rPr>
            </w:pPr>
          </w:p>
        </w:tc>
      </w:tr>
    </w:tbl>
    <w:p w14:paraId="B6020000">
      <w:pPr>
        <w:rPr>
          <w:b w:val="1"/>
        </w:rPr>
      </w:pPr>
    </w:p>
    <w:p w14:paraId="B7020000">
      <w:pPr>
        <w:sectPr>
          <w:headerReference r:id="rId19" w:type="default"/>
          <w:headerReference r:id="rId25" w:type="first"/>
          <w:headerReference r:id="rId8" w:type="even"/>
          <w:pgSz w:h="11906" w:orient="landscape" w:w="16838"/>
          <w:pgMar w:bottom="851" w:footer="709" w:gutter="0" w:header="709" w:left="1134" w:right="1134" w:top="1276"/>
          <w:pgNumType w:start="1"/>
          <w:titlePg/>
        </w:sectPr>
      </w:pPr>
    </w:p>
    <w:p w14:paraId="B8020000">
      <w:pPr>
        <w:widowControl w:val="1"/>
        <w:ind/>
        <w:jc w:val="center"/>
        <w:rPr>
          <w:b w:val="1"/>
        </w:rPr>
      </w:pPr>
      <w:r>
        <w:rPr>
          <w:b w:val="1"/>
        </w:rPr>
        <w:t>________________________________________</w:t>
      </w:r>
      <w:r>
        <w:rPr>
          <w:b w:val="1"/>
        </w:rPr>
        <w:br/>
      </w:r>
      <w:r>
        <w:rPr>
          <w:sz w:val="20"/>
        </w:rPr>
        <w:t xml:space="preserve">(Аббревиатура «ИП» для Заявителя – индивидуального предпринимателя/наименование должности руководителя Заявителя в соответствии </w:t>
      </w:r>
      <w:r>
        <w:rPr>
          <w:sz w:val="20"/>
        </w:rPr>
        <w:br/>
      </w:r>
      <w:r>
        <w:rPr>
          <w:sz w:val="20"/>
        </w:rPr>
        <w:t>с учредительными документами – для Заявителя – юридического лица/слова «представитель Заявителя</w:t>
      </w:r>
      <w:r>
        <w:rPr>
          <w:sz w:val="20"/>
        </w:rPr>
        <w:t>»</w:t>
      </w:r>
      <w:r>
        <w:rPr>
          <w:sz w:val="20"/>
        </w:rPr>
        <w:t xml:space="preserve"> для иного уполномоченного лица</w:t>
      </w:r>
      <w:r>
        <w:rPr>
          <w:rStyle w:val="Style_11_ch"/>
          <w:sz w:val="20"/>
        </w:rPr>
        <w:footnoteReference w:id="6"/>
      </w:r>
      <w:r>
        <w:rPr>
          <w:sz w:val="20"/>
        </w:rPr>
        <w:t>)</w:t>
      </w:r>
    </w:p>
    <w:p w14:paraId="B9020000">
      <w:pPr>
        <w:widowControl w:val="1"/>
        <w:ind/>
        <w:jc w:val="center"/>
        <w:rPr>
          <w:b w:val="1"/>
        </w:rPr>
      </w:pPr>
      <w:r>
        <w:rPr>
          <w:b w:val="1"/>
        </w:rPr>
        <w:br w:type="column"/>
      </w:r>
      <w:r>
        <w:rPr>
          <w:b w:val="1"/>
        </w:rPr>
        <w:t xml:space="preserve">     </w:t>
      </w:r>
      <w:r>
        <w:rPr>
          <w:b w:val="1"/>
        </w:rPr>
        <w:t>__________________________</w:t>
      </w:r>
    </w:p>
    <w:p w14:paraId="BA020000">
      <w:pPr>
        <w:widowControl w:val="1"/>
        <w:ind w:firstLine="709" w:left="567"/>
        <w:rPr>
          <w:sz w:val="20"/>
        </w:rPr>
      </w:pPr>
      <w:r>
        <w:rPr>
          <w:sz w:val="20"/>
        </w:rPr>
        <w:t xml:space="preserve">                </w:t>
      </w:r>
      <w:r>
        <w:rPr>
          <w:sz w:val="20"/>
        </w:rPr>
        <w:t>(Подпись)</w:t>
      </w:r>
      <w:r>
        <w:rPr>
          <w:sz w:val="20"/>
        </w:rPr>
        <w:br w:type="column"/>
      </w:r>
      <w:r>
        <w:rPr>
          <w:sz w:val="20"/>
        </w:rPr>
        <w:t>__________________________________________</w:t>
      </w:r>
    </w:p>
    <w:p w14:paraId="BB020000">
      <w:pPr>
        <w:widowControl w:val="1"/>
        <w:ind w:firstLine="284" w:left="567"/>
        <w:jc w:val="center"/>
        <w:rPr>
          <w:b w:val="1"/>
        </w:rPr>
      </w:pPr>
      <w:r>
        <w:rPr>
          <w:sz w:val="20"/>
        </w:rPr>
        <w:t>(Фамилия, имя, отчество (при наличии) лица, подписавшего заявление)</w:t>
      </w:r>
    </w:p>
    <w:p w14:paraId="BC020000">
      <w:pPr>
        <w:sectPr>
          <w:headerReference r:id="rId28" w:type="default"/>
          <w:headerReference r:id="rId2" w:type="first"/>
          <w:headerReference r:id="rId23" w:type="even"/>
          <w:type w:val="continuous"/>
          <w:pgSz w:h="11906" w:orient="landscape" w:w="16838"/>
          <w:pgMar w:bottom="851" w:footer="709" w:gutter="0" w:header="709" w:left="1134" w:right="1134" w:top="426"/>
          <w:pgNumType w:start="1"/>
          <w:cols w:equalWidth="1" w:num="3" w:space="55"/>
          <w:titlePg/>
        </w:sectPr>
      </w:pPr>
    </w:p>
    <w:p w14:paraId="BD020000">
      <w:pPr>
        <w:rPr>
          <w:b w:val="1"/>
        </w:rPr>
      </w:pPr>
    </w:p>
    <w:p w14:paraId="BE020000">
      <w:pPr>
        <w:sectPr>
          <w:headerReference r:id="rId17" w:type="default"/>
          <w:headerReference r:id="rId11" w:type="first"/>
          <w:headerReference r:id="rId21" w:type="even"/>
          <w:type w:val="continuous"/>
          <w:pgSz w:h="11906" w:orient="landscape" w:w="16838"/>
          <w:pgMar w:bottom="0" w:footer="709" w:gutter="0" w:header="709" w:left="1134" w:right="1134" w:top="2127"/>
          <w:pgNumType w:start="1"/>
          <w:titlePg/>
        </w:sectPr>
      </w:pPr>
    </w:p>
    <w:p w14:paraId="BF020000">
      <w:pPr>
        <w:widowControl w:val="1"/>
        <w:ind/>
        <w:jc w:val="both"/>
      </w:pPr>
    </w:p>
    <w:sectPr>
      <w:headerReference r:id="rId18" w:type="default"/>
      <w:headerReference r:id="rId30" w:type="first"/>
      <w:headerReference r:id="rId3" w:type="even"/>
      <w:type w:val="continuous"/>
      <w:pgSz w:h="11906" w:orient="landscape" w:w="16838"/>
      <w:pgMar w:bottom="0" w:footer="709" w:gutter="0" w:header="709" w:left="1134" w:right="1134" w:top="2127"/>
      <w:pgNumType w:start="1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DB020000">
      <w:r>
        <w:separator/>
      </w:r>
    </w:p>
  </w:endnote>
  <w:endnote w:id="0" w:type="continuationSeparator">
    <w:p w14:paraId="DC020000"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C0020000">
      <w:r>
        <w:separator/>
      </w:r>
    </w:p>
  </w:footnote>
  <w:footnote w:id="0" w:type="continuationSeparator">
    <w:p w14:paraId="C1020000">
      <w:r>
        <w:continuationSeparator/>
      </w:r>
    </w:p>
  </w:footnote>
  <w:footnote w:id="1">
    <w:p w14:paraId="C2020000">
      <w:pPr>
        <w:pStyle w:val="Style_37"/>
      </w:pPr>
      <w:r>
        <w:rPr>
          <w:vertAlign w:val="superscript"/>
        </w:rPr>
        <w:footnoteRef/>
      </w:r>
      <w:r>
        <w:t xml:space="preserve"> За исключением реорганизации в форме присоединения к Заявителю другого юридического лица.</w:t>
      </w:r>
    </w:p>
  </w:footnote>
  <w:footnote w:id="2">
    <w:p w14:paraId="C3020000">
      <w:pPr>
        <w:pStyle w:val="Style_37"/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t xml:space="preserve">При подписании </w:t>
      </w:r>
      <w:r>
        <w:t>заявки</w:t>
      </w:r>
      <w:r>
        <w:t xml:space="preserve"> лицом, не имеющим права действовать от имени Заявителя </w:t>
      </w:r>
      <w:r>
        <w:br/>
      </w:r>
      <w:r>
        <w:t xml:space="preserve">без доверенности или иного уполномочивающего документа в соответствии с </w:t>
      </w:r>
      <w:r>
        <w:t xml:space="preserve">учредительными документами Заявителя и(или) </w:t>
      </w:r>
      <w:r>
        <w:t>законодательством Российской Федерации, указываются наименования соответствующего уполномочивающего документа и его реквизиты в сочетании с фразой «действующий(-ая) на основании…».</w:t>
      </w:r>
    </w:p>
  </w:footnote>
  <w:footnote w:id="3">
    <w:p w14:paraId="C4020000">
      <w:pPr>
        <w:pStyle w:val="Style_37"/>
      </w:pPr>
      <w:r>
        <w:rPr>
          <w:vertAlign w:val="superscript"/>
        </w:rPr>
        <w:footnoteRef/>
      </w:r>
      <w:r>
        <w:t xml:space="preserve"> </w:t>
      </w:r>
      <w:r>
        <w:t xml:space="preserve">ГПД </w:t>
      </w:r>
      <w:r>
        <w:t>– г</w:t>
      </w:r>
      <w:r>
        <w:t>ражданско-правовой договор (д</w:t>
      </w:r>
      <w:r>
        <w:t>оговор на</w:t>
      </w:r>
      <w:r>
        <w:t xml:space="preserve"> оказание образовательных услуг</w:t>
      </w:r>
      <w:r>
        <w:t>), заключенный организацией – участником отбора со сторонней организацией.</w:t>
      </w:r>
    </w:p>
  </w:footnote>
  <w:footnote w:id="4">
    <w:p w14:paraId="C5020000">
      <w:pPr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sz w:val="20"/>
        </w:rPr>
        <w:t xml:space="preserve">Размер субсидий определяется путем умножения суммы затрат (без учета налога на добавленную стоимость) на 80 процентов, при этом максимальный размер субсидии одной организации – участнику отбора не может превышать </w:t>
      </w:r>
      <w:r>
        <w:rPr>
          <w:sz w:val="20"/>
        </w:rPr>
        <w:t>1</w:t>
      </w:r>
      <w:r>
        <w:rPr>
          <w:sz w:val="20"/>
        </w:rPr>
        <w:t xml:space="preserve"> млн руб. </w:t>
      </w:r>
      <w:r>
        <w:rPr>
          <w:sz w:val="20"/>
        </w:rPr>
        <w:br/>
      </w:r>
      <w:r>
        <w:rPr>
          <w:sz w:val="20"/>
        </w:rPr>
        <w:t>с учетом ограничений, установленных в абзац</w:t>
      </w:r>
      <w:r>
        <w:rPr>
          <w:sz w:val="20"/>
        </w:rPr>
        <w:t>е</w:t>
      </w:r>
      <w:r>
        <w:rPr>
          <w:sz w:val="20"/>
        </w:rPr>
        <w:t xml:space="preserve"> </w:t>
      </w:r>
      <w:r>
        <w:rPr>
          <w:sz w:val="20"/>
        </w:rPr>
        <w:t>втором пункта 1.5 Порядка.</w:t>
      </w:r>
    </w:p>
    <w:p w14:paraId="C6020000">
      <w:pPr>
        <w:pStyle w:val="Style_37"/>
      </w:pPr>
    </w:p>
    <w:p w14:paraId="C7020000">
      <w:pPr>
        <w:pStyle w:val="Style_37"/>
      </w:pPr>
    </w:p>
    <w:p w14:paraId="C8020000">
      <w:pPr>
        <w:pStyle w:val="Style_37"/>
      </w:pPr>
    </w:p>
    <w:p w14:paraId="C9020000">
      <w:pPr>
        <w:pStyle w:val="Style_37"/>
      </w:pPr>
    </w:p>
    <w:p w14:paraId="CA020000">
      <w:pPr>
        <w:pStyle w:val="Style_37"/>
      </w:pPr>
    </w:p>
    <w:p w14:paraId="CB020000">
      <w:pPr>
        <w:pStyle w:val="Style_37"/>
      </w:pPr>
    </w:p>
    <w:p w14:paraId="CC020000">
      <w:pPr>
        <w:pStyle w:val="Style_37"/>
      </w:pPr>
    </w:p>
    <w:p w14:paraId="CD020000">
      <w:pPr>
        <w:pStyle w:val="Style_37"/>
      </w:pPr>
    </w:p>
    <w:p w14:paraId="CE020000">
      <w:pPr>
        <w:pStyle w:val="Style_37"/>
      </w:pPr>
    </w:p>
    <w:p w14:paraId="CF020000">
      <w:pPr>
        <w:pStyle w:val="Style_37"/>
      </w:pPr>
    </w:p>
    <w:p w14:paraId="D0020000">
      <w:pPr>
        <w:pStyle w:val="Style_37"/>
      </w:pPr>
    </w:p>
    <w:p w14:paraId="D1020000">
      <w:pPr>
        <w:pStyle w:val="Style_37"/>
      </w:pPr>
    </w:p>
    <w:p w14:paraId="D2020000">
      <w:pPr>
        <w:pStyle w:val="Style_37"/>
      </w:pPr>
    </w:p>
    <w:p w14:paraId="D3020000">
      <w:pPr>
        <w:pStyle w:val="Style_37"/>
      </w:pPr>
    </w:p>
    <w:p w14:paraId="D4020000">
      <w:pPr>
        <w:pStyle w:val="Style_37"/>
      </w:pPr>
    </w:p>
    <w:p w14:paraId="D5020000">
      <w:pPr>
        <w:pStyle w:val="Style_37"/>
      </w:pPr>
    </w:p>
    <w:p w14:paraId="D6020000">
      <w:pPr>
        <w:pStyle w:val="Style_37"/>
      </w:pPr>
    </w:p>
    <w:p w14:paraId="D7020000">
      <w:pPr>
        <w:pStyle w:val="Style_37"/>
      </w:pPr>
    </w:p>
    <w:p w14:paraId="D8020000">
      <w:pPr>
        <w:pStyle w:val="Style_37"/>
      </w:pPr>
    </w:p>
  </w:footnote>
  <w:footnote w:id="5">
    <w:p w14:paraId="D9020000">
      <w:pPr>
        <w:pStyle w:val="Style_37"/>
        <w:widowControl w:val="1"/>
        <w:ind/>
        <w:jc w:val="both"/>
      </w:pPr>
      <w:r>
        <w:rPr>
          <w:vertAlign w:val="superscript"/>
        </w:rPr>
        <w:footnoteRef/>
      </w:r>
      <w:r>
        <w:t xml:space="preserve"> Заполняется в отношении работников, завершивших обучение.</w:t>
      </w:r>
    </w:p>
  </w:footnote>
  <w:footnote w:id="6">
    <w:p w14:paraId="DA020000">
      <w:pPr>
        <w:pStyle w:val="Style_37"/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t>При подписании справки лицом, не имеющим права действовать от имени получателя субсидии без доверенности или ино</w:t>
      </w:r>
      <w:r>
        <w:t xml:space="preserve">го уполномочивающего документа </w:t>
      </w:r>
      <w:r>
        <w:br/>
      </w:r>
      <w:r>
        <w:t>в соответствии с учредительными документами получателя субсидии и(или) законодательством Российской Федерации, указываютс</w:t>
      </w:r>
      <w:r>
        <w:t xml:space="preserve">я наименования соответствующего </w:t>
      </w:r>
      <w:r>
        <w:t>уполномочивающего документа и его реквизиты в сочетании с фразой «действующий(-ая) на основании…».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4000000">
    <w:pPr>
      <w:pStyle w:val="Style_1"/>
      <w:widowControl w:val="1"/>
      <w:tabs>
        <w:tab w:leader="none" w:pos="2145" w:val="left"/>
        <w:tab w:leader="none" w:pos="4677" w:val="clear"/>
        <w:tab w:leader="none" w:pos="9355" w:val="clear"/>
      </w:tabs>
      <w:ind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widowControl w:val="1"/>
      <w:ind/>
      <w:jc w:val="center"/>
    </w:pPr>
  </w:p>
  <w:p w14:paraId="16000000">
    <w:pPr>
      <w:pStyle w:val="Style_1"/>
    </w:pP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widowControl w:val="1"/>
      <w:ind/>
      <w:jc w:val="center"/>
    </w:pPr>
  </w:p>
  <w:p w14:paraId="18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A000000">
    <w:pPr>
      <w:pStyle w:val="Style_1"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1"/>
      <w:widowControl w:val="1"/>
      <w:ind/>
      <w:jc w:val="center"/>
    </w:pPr>
  </w:p>
  <w:p w14:paraId="1C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D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E000000">
    <w:pPr>
      <w:pStyle w:val="Style_1"/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F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0000000">
    <w:pPr>
      <w:pStyle w:val="Style_1"/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2000000">
    <w:pPr>
      <w:pStyle w:val="Style_1"/>
    </w:pPr>
  </w:p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4000000">
    <w:pPr>
      <w:pStyle w:val="Style_1"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6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2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8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27000000">
    <w:pPr>
      <w:pStyle w:val="Style_1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A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29000000">
    <w:pPr>
      <w:pStyle w:val="Style_1"/>
    </w:pPr>
  </w:p>
</w:hdr>
</file>

<file path=word/header2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B000000">
    <w:pPr>
      <w:pStyle w:val="Style_1"/>
      <w:widowControl w:val="1"/>
      <w:ind/>
      <w:jc w:val="center"/>
    </w:pPr>
  </w:p>
  <w:p w14:paraId="2C000000">
    <w:pPr>
      <w:pStyle w:val="Style_1"/>
    </w:pPr>
  </w:p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E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2D000000">
    <w:pPr>
      <w:pStyle w:val="Style_1"/>
    </w:pPr>
  </w:p>
</w:hdr>
</file>

<file path=word/header2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0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2F000000">
    <w:pPr>
      <w:pStyle w:val="Style_1"/>
    </w:pPr>
  </w:p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1000000">
    <w:pPr>
      <w:pStyle w:val="Style_1"/>
      <w:widowControl w:val="1"/>
      <w:ind/>
      <w:jc w:val="center"/>
    </w:pPr>
  </w:p>
  <w:p w14:paraId="32000000">
    <w:pPr>
      <w:pStyle w:val="Style_1"/>
    </w:pPr>
  </w:p>
</w:hdr>
</file>

<file path=word/header2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3000000">
    <w:pPr>
      <w:pStyle w:val="Style_1"/>
      <w:widowControl w:val="1"/>
      <w:ind/>
      <w:jc w:val="center"/>
    </w:pPr>
  </w:p>
  <w:p w14:paraId="34000000">
    <w:pPr>
      <w:pStyle w:val="Style_1"/>
    </w:pPr>
  </w:p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36000000">
    <w:pPr>
      <w:pStyle w:val="Style_1"/>
    </w:pPr>
  </w:p>
</w:hdr>
</file>

<file path=word/header2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7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38000000">
    <w:pPr>
      <w:pStyle w:val="Style_1"/>
    </w:pPr>
  </w:p>
</w:hdr>
</file>

<file path=word/header2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9000000">
    <w:pPr>
      <w:pStyle w:val="Style_1"/>
      <w:widowControl w:val="1"/>
      <w:ind/>
      <w:jc w:val="center"/>
    </w:pPr>
  </w:p>
  <w:p w14:paraId="3A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5000000">
    <w:pPr>
      <w:pStyle w:val="Style_1"/>
    </w:pPr>
  </w:p>
</w:hdr>
</file>

<file path=word/header3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B000000">
    <w:pPr>
      <w:pStyle w:val="Style_1"/>
      <w:widowControl w:val="1"/>
      <w:ind/>
      <w:jc w:val="center"/>
    </w:pPr>
  </w:p>
  <w:p w14:paraId="3C000000">
    <w:pPr>
      <w:pStyle w:val="Style_1"/>
    </w:pPr>
  </w:p>
</w:hdr>
</file>

<file path=word/header3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E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3D000000">
    <w:pPr>
      <w:pStyle w:val="Style_1"/>
    </w:pPr>
  </w:p>
</w:hdr>
</file>

<file path=word/header3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0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3F000000">
    <w:pPr>
      <w:pStyle w:val="Style_1"/>
    </w:pPr>
  </w:p>
</w:hdr>
</file>

<file path=word/header3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41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7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</w:pPr>
  </w:p>
  <w:p w14:paraId="0A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</w:pPr>
  </w:p>
  <w:p w14:paraId="0C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E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F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795" w:left="1363"/>
      </w:pPr>
      <w:rPr>
        <w:rFonts w:ascii="Times New Roman" w:hAnsi="Times New Roman"/>
        <w:b w:val="0"/>
        <w:color w:val="000000"/>
      </w:rPr>
    </w:lvl>
    <w:lvl w:ilvl="1">
      <w:start w:val="1"/>
      <w:numFmt w:val="decimal"/>
      <w:suff w:val="tab"/>
      <w:lvlText w:val="%1.%2."/>
      <w:lvlJc w:val="left"/>
      <w:pPr>
        <w:widowControl w:val="1"/>
        <w:ind w:hanging="720" w:left="1146"/>
      </w:pPr>
      <w:rPr>
        <w:strike w:val="0"/>
        <w:color w:val="FF000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720" w:left="1430"/>
      </w:pPr>
      <w:rPr>
        <w:color w:val="FF0000"/>
      </w:rPr>
    </w:lvl>
    <w:lvl w:ilvl="3">
      <w:start w:val="1"/>
      <w:numFmt w:val="decimal"/>
      <w:suff w:val="tab"/>
      <w:lvlText w:val="%1.%2.%3.%4."/>
      <w:lvlJc w:val="left"/>
      <w:pPr>
        <w:widowControl w:val="1"/>
        <w:ind w:hanging="1080" w:left="709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736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440" w:left="1123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115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800" w:left="1537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1564"/>
      </w:pPr>
    </w:lvl>
  </w:abstractNum>
  <w:abstractNum w:abstractNumId="1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b w:val="1"/>
      </w:rPr>
    </w:lvl>
    <w:lvl w:ilvl="1">
      <w:start w:val="12"/>
      <w:numFmt w:val="decimal"/>
      <w:suff w:val="tab"/>
      <w:lvlText w:val="%1.%2."/>
      <w:lvlJc w:val="left"/>
      <w:pPr>
        <w:widowControl w:val="1"/>
        <w:ind w:hanging="480" w:left="1189"/>
      </w:pPr>
    </w:lvl>
    <w:lvl w:ilvl="2">
      <w:start w:val="1"/>
      <w:numFmt w:val="decimal"/>
      <w:suff w:val="tab"/>
      <w:lvlText w:val="%1.%2.%3."/>
      <w:lvlJc w:val="left"/>
      <w:pPr>
        <w:widowControl w:val="1"/>
        <w:ind w:hanging="720" w:left="1778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720" w:left="2127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2836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3185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3894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4243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4952"/>
      </w:pPr>
    </w:lvl>
  </w:abstractNum>
  <w:abstractNum w:abstractNumId="2">
    <w:lvl w:ilvl="0">
      <w:start w:val="1"/>
      <w:numFmt w:val="decimal"/>
      <w:suff w:val="tab"/>
      <w:lvlText w:val="%1."/>
      <w:lvlJc w:val="left"/>
      <w:pPr>
        <w:widowControl w:val="1"/>
        <w:ind w:hanging="1185" w:left="1185"/>
      </w:pPr>
    </w:lvl>
    <w:lvl w:ilvl="1">
      <w:start w:val="1"/>
      <w:numFmt w:val="decimal"/>
      <w:suff w:val="tab"/>
      <w:lvlText w:val="%1.%2."/>
      <w:lvlJc w:val="left"/>
      <w:pPr>
        <w:widowControl w:val="1"/>
        <w:ind w:hanging="1185" w:left="1327"/>
      </w:pPr>
      <w:rPr>
        <w:i w:val="0"/>
        <w:color w:val="00000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1185" w:left="2603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1185" w:left="3312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185" w:left="4021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185" w:left="473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5694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6403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7472"/>
      </w:pPr>
    </w:lvl>
  </w:abstractNum>
  <w:abstractNum w:abstractNumId="3">
    <w:lvl w:ilvl="0">
      <w:start w:val="2"/>
      <w:numFmt w:val="decimal"/>
      <w:suff w:val="tab"/>
      <w:lvlText w:val="%1."/>
      <w:lvlJc w:val="left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lvlJc w:val="left"/>
      <w:pPr>
        <w:widowControl w:val="1"/>
        <w:ind w:hanging="360" w:left="2062"/>
      </w:pPr>
      <w:rPr>
        <w:b w:val="0"/>
        <w:i w:val="0"/>
        <w:strike w:val="0"/>
        <w:color w:val="000000"/>
        <w:sz w:val="24"/>
      </w:rPr>
    </w:lvl>
    <w:lvl w:ilvl="2">
      <w:start w:val="1"/>
      <w:numFmt w:val="decimal"/>
      <w:suff w:val="tab"/>
      <w:lvlText w:val="2.20.1."/>
      <w:lvlJc w:val="left"/>
      <w:pPr>
        <w:widowControl w:val="1"/>
        <w:ind w:hanging="720" w:left="1713"/>
      </w:pPr>
      <w:rPr>
        <w:i w:val="0"/>
        <w:strike w:val="0"/>
        <w:color w:val="000000"/>
      </w:rPr>
    </w:lvl>
    <w:lvl w:ilvl="3">
      <w:start w:val="1"/>
      <w:numFmt w:val="decimal"/>
      <w:suff w:val="tab"/>
      <w:lvlText w:val="%1.%2.%3.%4."/>
      <w:lvlJc w:val="left"/>
      <w:pPr>
        <w:widowControl w:val="1"/>
        <w:ind w:hanging="720" w:left="1800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2520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288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360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3960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4680"/>
      </w:pPr>
    </w:lvl>
  </w:abstractNum>
  <w:abstractNum w:abstractNumId="4">
    <w:lvl w:ilvl="0">
      <w:start w:val="3"/>
      <w:numFmt w:val="decimal"/>
      <w:suff w:val="tab"/>
      <w:lvlText w:val="%1."/>
      <w:lvlJc w:val="left"/>
      <w:pPr>
        <w:widowControl w:val="1"/>
        <w:ind w:hanging="540" w:left="540"/>
      </w:pPr>
    </w:lvl>
    <w:lvl w:ilvl="1">
      <w:start w:val="1"/>
      <w:numFmt w:val="decimal"/>
      <w:suff w:val="tab"/>
      <w:lvlText w:val="%1.%2."/>
      <w:lvlJc w:val="left"/>
      <w:pPr>
        <w:widowControl w:val="1"/>
        <w:ind w:hanging="540" w:left="823"/>
      </w:pPr>
      <w:rPr>
        <w:i w:val="0"/>
        <w:strike w:val="0"/>
        <w:color w:val="00000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720" w:left="2280"/>
      </w:pPr>
      <w:rPr>
        <w:i w:val="0"/>
        <w:strike w:val="0"/>
        <w:color w:val="000000"/>
      </w:rPr>
    </w:lvl>
    <w:lvl w:ilvl="3">
      <w:start w:val="1"/>
      <w:numFmt w:val="decimal"/>
      <w:suff w:val="tab"/>
      <w:lvlText w:val="%1.%2.%3.%4."/>
      <w:lvlJc w:val="left"/>
      <w:pPr>
        <w:widowControl w:val="1"/>
        <w:ind w:hanging="720" w:left="1569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2212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2495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3138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3421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4064"/>
      </w:pPr>
    </w:lvl>
  </w:abstractNum>
  <w:abstractNum w:abstractNumId="5">
    <w:lvl w:ilvl="0">
      <w:start w:val="3"/>
      <w:numFmt w:val="decimal"/>
      <w:suff w:val="tab"/>
      <w:lvlText w:val="%1."/>
      <w:lvlJc w:val="left"/>
      <w:pPr>
        <w:widowControl w:val="1"/>
        <w:ind w:hanging="360" w:left="360"/>
      </w:pPr>
    </w:lvl>
    <w:lvl w:ilvl="1">
      <w:start w:val="2"/>
      <w:numFmt w:val="decimal"/>
      <w:suff w:val="tab"/>
      <w:lvlText w:val="%1.%2."/>
      <w:lvlJc w:val="left"/>
      <w:pPr>
        <w:widowControl w:val="1"/>
        <w:ind w:hanging="360" w:left="786"/>
      </w:pPr>
      <w:rPr>
        <w:color w:val="00000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720" w:left="3131"/>
      </w:pPr>
      <w:rPr>
        <w:i w:val="0"/>
        <w:strike w:val="0"/>
        <w:color w:val="000000"/>
      </w:rPr>
    </w:lvl>
    <w:lvl w:ilvl="3">
      <w:start w:val="1"/>
      <w:numFmt w:val="decimal"/>
      <w:suff w:val="tab"/>
      <w:lvlText w:val="%1.%2.%3.%4."/>
      <w:lvlJc w:val="left"/>
      <w:pPr>
        <w:widowControl w:val="1"/>
        <w:ind w:hanging="720" w:left="1569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2212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2495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3138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3421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4064"/>
      </w:pPr>
    </w:lvl>
  </w:abstractNum>
  <w:abstractNum w:abstractNumId="6">
    <w:lvl w:ilvl="0">
      <w:start w:val="4"/>
      <w:numFmt w:val="decimal"/>
      <w:suff w:val="tab"/>
      <w:lvlText w:val="%1."/>
      <w:lvlJc w:val="left"/>
      <w:pPr>
        <w:widowControl w:val="1"/>
        <w:ind w:hanging="360" w:left="360"/>
      </w:pPr>
      <w:rPr>
        <w:b w:val="1"/>
      </w:rPr>
    </w:lvl>
    <w:lvl w:ilvl="1">
      <w:start w:val="1"/>
      <w:numFmt w:val="decimal"/>
      <w:suff w:val="tab"/>
      <w:lvlText w:val="%1.%2."/>
      <w:lvlJc w:val="left"/>
      <w:pPr>
        <w:widowControl w:val="1"/>
        <w:ind w:hanging="360" w:left="1211"/>
      </w:pPr>
      <w:rPr>
        <w:i w:val="0"/>
        <w:strike w:val="0"/>
        <w:color w:val="000000"/>
      </w:rPr>
    </w:lvl>
    <w:lvl w:ilvl="2">
      <w:start w:val="1"/>
      <w:numFmt w:val="decimal"/>
      <w:suff w:val="tab"/>
      <w:lvlText w:val="%1.6.%3."/>
      <w:lvlJc w:val="left"/>
      <w:pPr>
        <w:widowControl w:val="1"/>
        <w:ind w:hanging="720" w:left="720"/>
      </w:pPr>
      <w:rPr>
        <w:color w:themeColor="text1" w:val="000000"/>
      </w:rPr>
    </w:lvl>
    <w:lvl w:ilvl="3">
      <w:start w:val="1"/>
      <w:numFmt w:val="decimal"/>
      <w:suff w:val="tab"/>
      <w:lvlText w:val="%1.%2.%3.%4."/>
      <w:lvlJc w:val="left"/>
      <w:pPr>
        <w:widowControl w:val="1"/>
        <w:ind w:hanging="720" w:left="720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1080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108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144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1440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1800"/>
      </w:pPr>
    </w:lvl>
  </w:abstractNum>
  <w:abstractNum w:abstractNumId="7">
    <w:lvl w:ilvl="0">
      <w:start w:val="6"/>
      <w:numFmt w:val="decimal"/>
      <w:suff w:val="tab"/>
      <w:lvlText w:val="%1."/>
      <w:lvlJc w:val="left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lvlJc w:val="left"/>
      <w:pPr>
        <w:widowControl w:val="1"/>
        <w:ind w:hanging="360" w:left="786"/>
      </w:pPr>
      <w:rPr>
        <w:color w:val="00000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720" w:left="13480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720" w:left="19860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26600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-32556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-25816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-19436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-12696"/>
      </w:pPr>
    </w:lvl>
  </w:abstractNum>
  <w:abstractNum w:abstractNumId="8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9">
    <w:lvl w:ilvl="0">
      <w:start w:val="1"/>
      <w:numFmt w:val="decimal"/>
      <w:suff w:val="tab"/>
      <w:lvlText w:val="%1)"/>
      <w:lvlJc w:val="left"/>
      <w:pPr>
        <w:widowControl w:val="1"/>
        <w:ind w:hanging="360" w:left="1429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2149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869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589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4309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5029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749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469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7189"/>
      </w:pPr>
    </w:lvl>
  </w:abstractNum>
  <w:abstractNum w:abstractNumId="10">
    <w:lvl w:ilvl="0">
      <w:start w:val="1"/>
      <w:numFmt w:val="decimal"/>
      <w:suff w:val="tab"/>
      <w:lvlText w:val="1."/>
      <w:lvlJc w:val="left"/>
      <w:pPr>
        <w:widowControl w:val="1"/>
        <w:ind w:hanging="885" w:left="1453"/>
      </w:pPr>
      <w:rPr>
        <w:i w:val="0"/>
        <w:color w:val="000000"/>
      </w:rPr>
    </w:lvl>
    <w:lvl w:ilvl="1">
      <w:start w:val="1"/>
      <w:numFmt w:val="decimal"/>
      <w:suff w:val="tab"/>
      <w:lvlText w:val="2."/>
      <w:lvlJc w:val="left"/>
      <w:pPr>
        <w:widowControl w:val="1"/>
        <w:ind w:hanging="1020" w:left="1587"/>
      </w:pPr>
      <w:rPr>
        <w:strike w:val="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1020" w:left="1587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1020" w:left="1587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1647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1647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2007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2007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2367"/>
      </w:pPr>
    </w:lvl>
  </w:abstractNum>
  <w:abstractNum w:abstractNumId="11">
    <w:lvl w:ilvl="0">
      <w:start w:val="1"/>
      <w:numFmt w:val="decimal"/>
      <w:suff w:val="tab"/>
      <w:lvlText w:val="%1."/>
      <w:lvlJc w:val="left"/>
      <w:pPr>
        <w:widowControl w:val="1"/>
        <w:ind w:hanging="1095" w:left="1804"/>
      </w:pPr>
      <w:rPr>
        <w:strike w:val="0"/>
      </w:rPr>
    </w:lvl>
    <w:lvl w:ilvl="1">
      <w:start w:val="1"/>
      <w:numFmt w:val="decimal"/>
      <w:suff w:val="tab"/>
      <w:lvlText w:val="%1.%2."/>
      <w:lvlJc w:val="left"/>
      <w:pPr>
        <w:widowControl w:val="1"/>
        <w:ind w:hanging="1050" w:left="1901"/>
      </w:pPr>
      <w:rPr>
        <w:i w:val="0"/>
        <w:color w:val="00000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1050" w:left="1759"/>
      </w:pPr>
      <w:rPr>
        <w:i w:val="0"/>
        <w:color w:val="000000"/>
      </w:rPr>
    </w:lvl>
    <w:lvl w:ilvl="3">
      <w:start w:val="1"/>
      <w:numFmt w:val="decimal"/>
      <w:suff w:val="tab"/>
      <w:lvlText w:val="%1.%2.%3.%4."/>
      <w:lvlJc w:val="left"/>
      <w:pPr>
        <w:widowControl w:val="1"/>
        <w:ind w:hanging="1050" w:left="1759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1789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1789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2149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2149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2509"/>
      </w:pPr>
    </w:lvl>
  </w:abstractNum>
  <w:abstractNum w:abstractNumId="12">
    <w:lvl w:ilvl="0">
      <w:start w:val="2"/>
      <w:numFmt w:val="decimal"/>
      <w:suff w:val="tab"/>
      <w:lvlText w:val="%1."/>
      <w:lvlJc w:val="left"/>
      <w:pPr>
        <w:widowControl w:val="1"/>
        <w:ind w:hanging="885" w:left="1453"/>
      </w:pPr>
      <w:rPr>
        <w:i w:val="0"/>
        <w:color w:val="000000"/>
      </w:rPr>
    </w:lvl>
    <w:lvl w:ilvl="1">
      <w:start w:val="1"/>
      <w:numFmt w:val="decimal"/>
      <w:suff w:val="tab"/>
      <w:lvlText w:val="2."/>
      <w:lvlJc w:val="left"/>
      <w:pPr>
        <w:widowControl w:val="1"/>
        <w:ind w:hanging="1020" w:left="1587"/>
      </w:pPr>
      <w:rPr>
        <w:strike w:val="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1020" w:left="1587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1020" w:left="1587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1647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1647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2007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2007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2367"/>
      </w:pPr>
    </w:lvl>
  </w:abstractNum>
  <w:abstractNum w:abstractNumId="13">
    <w:lvl w:ilvl="0">
      <w:start w:val="1"/>
      <w:numFmt w:val="decimal"/>
      <w:suff w:val="tab"/>
      <w:lvlText w:val="%1."/>
      <w:lvlJc w:val="left"/>
      <w:pPr>
        <w:widowControl w:val="1"/>
        <w:ind w:hanging="840" w:left="1380"/>
      </w:pPr>
      <w:rPr>
        <w:i w:val="0"/>
        <w:color w:val="000000"/>
      </w:rPr>
    </w:lvl>
    <w:lvl w:ilvl="1">
      <w:start w:val="1"/>
      <w:numFmt w:val="decimal"/>
      <w:suff w:val="tab"/>
      <w:lvlText w:val="%1.%2."/>
      <w:lvlJc w:val="left"/>
      <w:pPr>
        <w:widowControl w:val="1"/>
        <w:ind w:hanging="1020" w:left="1560"/>
      </w:pPr>
    </w:lvl>
    <w:lvl w:ilvl="2">
      <w:start w:val="1"/>
      <w:numFmt w:val="decimal"/>
      <w:suff w:val="tab"/>
      <w:lvlText w:val="%1.%2.%3."/>
      <w:lvlJc w:val="left"/>
      <w:pPr>
        <w:widowControl w:val="1"/>
        <w:ind w:hanging="1020" w:left="1560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1020" w:left="1560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1620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080" w:left="162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198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1980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2340"/>
      </w:pPr>
    </w:lvl>
  </w:abstractNum>
  <w:abstractNum w:abstractNumId="14">
    <w:lvl w:ilvl="0">
      <w:start w:val="1"/>
      <w:numFmt w:val="decimal"/>
      <w:suff w:val="tab"/>
      <w:lvlText w:val="%1."/>
      <w:lvlJc w:val="left"/>
      <w:pPr>
        <w:widowControl w:val="1"/>
        <w:ind w:hanging="900" w:left="1467"/>
      </w:pPr>
    </w:lvl>
    <w:lvl w:ilvl="1">
      <w:start w:val="1"/>
      <w:numFmt w:val="decimal"/>
      <w:suff w:val="tab"/>
      <w:lvlText w:val="%1.%2."/>
      <w:lvlJc w:val="left"/>
      <w:pPr>
        <w:widowControl w:val="1"/>
        <w:ind w:hanging="1110" w:left="1677"/>
      </w:pPr>
      <w:rPr>
        <w:i w:val="0"/>
        <w:color w:val="00000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1110" w:left="1677"/>
      </w:pPr>
      <w:rPr>
        <w:color w:val="000000"/>
      </w:rPr>
    </w:lvl>
    <w:lvl w:ilvl="3">
      <w:start w:val="1"/>
      <w:numFmt w:val="decimal"/>
      <w:suff w:val="tab"/>
      <w:lvlText w:val="%1.%2.%3.%4."/>
      <w:lvlJc w:val="left"/>
      <w:pPr>
        <w:widowControl w:val="1"/>
        <w:ind w:hanging="1110" w:left="1677"/>
      </w:pPr>
      <w:rPr>
        <w:color w:val="000000"/>
      </w:rPr>
    </w:lvl>
    <w:lvl w:ilvl="4">
      <w:start w:val="1"/>
      <w:numFmt w:val="decimal"/>
      <w:suff w:val="tab"/>
      <w:lvlText w:val="%1.%2.%3.%4.%5."/>
      <w:lvlJc w:val="left"/>
      <w:pPr>
        <w:widowControl w:val="1"/>
        <w:ind w:hanging="1110" w:left="1677"/>
      </w:pPr>
      <w:rPr>
        <w:color w:val="000000"/>
      </w:r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110" w:left="1677"/>
      </w:pPr>
      <w:rPr>
        <w:color w:val="000000"/>
      </w:r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2007"/>
      </w:pPr>
      <w:rPr>
        <w:color w:val="000000"/>
      </w:r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2007"/>
      </w:pPr>
      <w:rPr>
        <w:color w:val="000000"/>
      </w:r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2367"/>
      </w:pPr>
      <w:rPr>
        <w:color w:val="000000"/>
      </w:rPr>
    </w:lvl>
  </w:abstractNum>
  <w:abstractNum w:abstractNumId="15">
    <w:lvl w:ilvl="0">
      <w:start w:val="1"/>
      <w:numFmt w:val="bullet"/>
      <w:pStyle w:val="Style_22"/>
      <w:suff w:val="tab"/>
      <w:lvlText w:val=""/>
      <w:lvlJc w:val="left"/>
      <w:pPr>
        <w:widowControl w:val="1"/>
        <w:tabs>
          <w:tab w:leader="none" w:pos="360" w:val="left"/>
        </w:tabs>
        <w:ind w:hanging="360" w:left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5" w:type="paragraph">
    <w:name w:val="Normal"/>
    <w:link w:val="Style_15_ch"/>
    <w:uiPriority w:val="0"/>
    <w:qFormat/>
    <w:rPr>
      <w:sz w:val="24"/>
    </w:rPr>
  </w:style>
  <w:style w:default="1" w:styleId="Style_15_ch" w:type="character">
    <w:name w:val="Normal"/>
    <w:link w:val="Style_15"/>
    <w:rPr>
      <w:sz w:val="24"/>
    </w:rPr>
  </w:style>
  <w:style w:styleId="Style_16" w:type="paragraph">
    <w:name w:val="toc 2"/>
    <w:next w:val="Style_15"/>
    <w:link w:val="Style_1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6_ch" w:type="character">
    <w:name w:val="toc 2"/>
    <w:link w:val="Style_16"/>
    <w:rPr>
      <w:rFonts w:ascii="XO Thames" w:hAnsi="XO Thames"/>
      <w:sz w:val="28"/>
    </w:rPr>
  </w:style>
  <w:style w:styleId="Style_17" w:type="paragraph">
    <w:name w:val="заголовок 1"/>
    <w:basedOn w:val="Style_15"/>
    <w:next w:val="Style_15"/>
    <w:link w:val="Style_17_ch"/>
    <w:pPr>
      <w:keepNext w:val="1"/>
      <w:widowControl w:val="1"/>
      <w:ind/>
      <w:outlineLvl w:val="0"/>
    </w:pPr>
    <w:rPr>
      <w:b w:val="1"/>
    </w:rPr>
  </w:style>
  <w:style w:styleId="Style_17_ch" w:type="character">
    <w:name w:val="заголовок 1"/>
    <w:basedOn w:val="Style_15_ch"/>
    <w:link w:val="Style_17"/>
    <w:rPr>
      <w:b w:val="1"/>
    </w:rPr>
  </w:style>
  <w:style w:styleId="Style_18" w:type="paragraph">
    <w:name w:val="toc 4"/>
    <w:next w:val="Style_15"/>
    <w:link w:val="Style_1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8_ch" w:type="character">
    <w:name w:val="toc 4"/>
    <w:link w:val="Style_18"/>
    <w:rPr>
      <w:rFonts w:ascii="XO Thames" w:hAnsi="XO Thames"/>
      <w:sz w:val="28"/>
    </w:rPr>
  </w:style>
  <w:style w:styleId="Style_4" w:type="paragraph">
    <w:name w:val="List Paragraph"/>
    <w:basedOn w:val="Style_15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15_ch"/>
    <w:link w:val="Style_4"/>
  </w:style>
  <w:style w:styleId="Style_11" w:type="paragraph">
    <w:name w:val="footnote reference"/>
    <w:link w:val="Style_11_ch"/>
    <w:rPr>
      <w:vertAlign w:val="superscript"/>
    </w:rPr>
  </w:style>
  <w:style w:styleId="Style_11_ch" w:type="character">
    <w:name w:val="footnote reference"/>
    <w:link w:val="Style_11"/>
    <w:rPr>
      <w:vertAlign w:val="superscript"/>
    </w:rPr>
  </w:style>
  <w:style w:styleId="Style_19" w:type="paragraph">
    <w:name w:val="toc 6"/>
    <w:next w:val="Style_15"/>
    <w:link w:val="Style_1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9_ch" w:type="character">
    <w:name w:val="toc 6"/>
    <w:link w:val="Style_19"/>
    <w:rPr>
      <w:rFonts w:ascii="XO Thames" w:hAnsi="XO Thames"/>
      <w:sz w:val="28"/>
    </w:rPr>
  </w:style>
  <w:style w:styleId="Style_20" w:type="paragraph">
    <w:name w:val="toc 7"/>
    <w:next w:val="Style_15"/>
    <w:link w:val="Style_2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0_ch" w:type="character">
    <w:name w:val="toc 7"/>
    <w:link w:val="Style_20"/>
    <w:rPr>
      <w:rFonts w:ascii="XO Thames" w:hAnsi="XO Thames"/>
      <w:sz w:val="28"/>
    </w:rPr>
  </w:style>
  <w:style w:styleId="Style_21" w:type="paragraph">
    <w:name w:val="Normal (Web)"/>
    <w:basedOn w:val="Style_15"/>
    <w:link w:val="Style_21_ch"/>
    <w:pPr>
      <w:widowControl w:val="1"/>
      <w:spacing w:after="30" w:before="30"/>
      <w:ind/>
    </w:pPr>
    <w:rPr>
      <w:rFonts w:ascii="Arial" w:hAnsi="Arial"/>
      <w:color w:val="332E2D"/>
      <w:spacing w:val="2"/>
    </w:rPr>
  </w:style>
  <w:style w:styleId="Style_21_ch" w:type="character">
    <w:name w:val="Normal (Web)"/>
    <w:basedOn w:val="Style_15_ch"/>
    <w:link w:val="Style_21"/>
    <w:rPr>
      <w:rFonts w:ascii="Arial" w:hAnsi="Arial"/>
      <w:color w:val="332E2D"/>
      <w:spacing w:val="2"/>
    </w:rPr>
  </w:style>
  <w:style w:styleId="Style_1" w:type="paragraph">
    <w:name w:val="header"/>
    <w:basedOn w:val="Style_1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15_ch"/>
    <w:link w:val="Style_1"/>
  </w:style>
  <w:style w:styleId="Style_22" w:type="paragraph">
    <w:name w:val="List Bullet"/>
    <w:basedOn w:val="Style_15"/>
    <w:link w:val="Style_22_ch"/>
    <w:pPr>
      <w:widowControl w:val="1"/>
      <w:numPr>
        <w:numId w:val="16"/>
      </w:numPr>
      <w:ind/>
      <w:contextualSpacing w:val="1"/>
    </w:pPr>
  </w:style>
  <w:style w:styleId="Style_22_ch" w:type="character">
    <w:name w:val="List Bullet"/>
    <w:basedOn w:val="Style_15_ch"/>
    <w:link w:val="Style_22"/>
  </w:style>
  <w:style w:styleId="Style_23" w:type="paragraph">
    <w:name w:val="Endnote"/>
    <w:basedOn w:val="Style_15"/>
    <w:link w:val="Style_23_ch"/>
    <w:rPr>
      <w:sz w:val="20"/>
    </w:rPr>
  </w:style>
  <w:style w:styleId="Style_23_ch" w:type="character">
    <w:name w:val="Endnote"/>
    <w:basedOn w:val="Style_15_ch"/>
    <w:link w:val="Style_23"/>
    <w:rPr>
      <w:sz w:val="20"/>
    </w:rPr>
  </w:style>
  <w:style w:styleId="Style_24" w:type="paragraph">
    <w:name w:val="heading 3"/>
    <w:basedOn w:val="Style_15"/>
    <w:next w:val="Style_15"/>
    <w:link w:val="Style_24_ch"/>
    <w:uiPriority w:val="9"/>
    <w:qFormat/>
    <w:pPr>
      <w:keepNext w:val="1"/>
      <w:keepLines w:val="1"/>
      <w:widowControl w:val="1"/>
      <w:spacing w:before="40"/>
      <w:ind/>
      <w:outlineLvl w:val="2"/>
    </w:pPr>
    <w:rPr>
      <w:rFonts w:ascii="Cambria" w:hAnsi="Cambria"/>
      <w:color w:val="243F60"/>
    </w:rPr>
  </w:style>
  <w:style w:styleId="Style_24_ch" w:type="character">
    <w:name w:val="heading 3"/>
    <w:basedOn w:val="Style_15_ch"/>
    <w:link w:val="Style_24"/>
    <w:rPr>
      <w:rFonts w:ascii="Cambria" w:hAnsi="Cambria"/>
      <w:color w:val="243F60"/>
    </w:rPr>
  </w:style>
  <w:style w:styleId="Style_6" w:type="paragraph">
    <w:name w:val="Font Style14"/>
    <w:link w:val="Style_6_ch"/>
    <w:rPr>
      <w:rFonts w:ascii="Times New Roman" w:hAnsi="Times New Roman"/>
      <w:sz w:val="26"/>
    </w:rPr>
  </w:style>
  <w:style w:styleId="Style_6_ch" w:type="character">
    <w:name w:val="Font Style14"/>
    <w:link w:val="Style_6"/>
    <w:rPr>
      <w:rFonts w:ascii="Times New Roman" w:hAnsi="Times New Roman"/>
      <w:sz w:val="26"/>
    </w:rPr>
  </w:style>
  <w:style w:styleId="Style_9" w:type="paragraph">
    <w:name w:val="Основной текст (2)"/>
    <w:basedOn w:val="Style_15"/>
    <w:link w:val="Style_9_ch"/>
    <w:pPr>
      <w:widowControl w:val="0"/>
      <w:spacing w:after="300" w:before="300" w:line="274" w:lineRule="exact"/>
      <w:ind/>
      <w:jc w:val="both"/>
    </w:pPr>
    <w:rPr>
      <w:sz w:val="20"/>
    </w:rPr>
  </w:style>
  <w:style w:styleId="Style_9_ch" w:type="character">
    <w:name w:val="Основной текст (2)"/>
    <w:basedOn w:val="Style_15_ch"/>
    <w:link w:val="Style_9"/>
    <w:rPr>
      <w:sz w:val="20"/>
    </w:rPr>
  </w:style>
  <w:style w:styleId="Style_25" w:type="paragraph">
    <w:name w:val="Document Map"/>
    <w:basedOn w:val="Style_15"/>
    <w:link w:val="Style_25_ch"/>
    <w:rPr>
      <w:rFonts w:ascii="Tahoma" w:hAnsi="Tahoma"/>
      <w:sz w:val="16"/>
    </w:rPr>
  </w:style>
  <w:style w:styleId="Style_25_ch" w:type="character">
    <w:name w:val="Document Map"/>
    <w:basedOn w:val="Style_15_ch"/>
    <w:link w:val="Style_25"/>
    <w:rPr>
      <w:rFonts w:ascii="Tahoma" w:hAnsi="Tahoma"/>
      <w:sz w:val="16"/>
    </w:rPr>
  </w:style>
  <w:style w:styleId="Style_3" w:type="paragraph">
    <w:name w:val=".HEADERTEXT"/>
    <w:link w:val="Style_3_ch"/>
    <w:pPr>
      <w:widowControl w:val="0"/>
      <w:ind/>
    </w:pPr>
    <w:rPr>
      <w:rFonts w:ascii="Arial" w:hAnsi="Arial"/>
      <w:color w:val="2B4279"/>
      <w:sz w:val="22"/>
    </w:rPr>
  </w:style>
  <w:style w:styleId="Style_3_ch" w:type="character">
    <w:name w:val=".HEADERTEXT"/>
    <w:link w:val="Style_3"/>
    <w:rPr>
      <w:rFonts w:ascii="Arial" w:hAnsi="Arial"/>
      <w:color w:val="2B4279"/>
      <w:sz w:val="22"/>
    </w:rPr>
  </w:style>
  <w:style w:styleId="Style_13" w:type="paragraph">
    <w:name w:val="bx-messenger-message"/>
    <w:link w:val="Style_13_ch"/>
  </w:style>
  <w:style w:styleId="Style_13_ch" w:type="character">
    <w:name w:val="bx-messenger-message"/>
    <w:link w:val="Style_13"/>
  </w:style>
  <w:style w:styleId="Style_26" w:type="paragraph">
    <w:name w:val="ConsPlusTitle"/>
    <w:link w:val="Style_26_ch"/>
    <w:pPr>
      <w:widowControl w:val="0"/>
      <w:ind/>
    </w:pPr>
    <w:rPr>
      <w:b w:val="1"/>
      <w:sz w:val="24"/>
    </w:rPr>
  </w:style>
  <w:style w:styleId="Style_26_ch" w:type="character">
    <w:name w:val="ConsPlusTitle"/>
    <w:link w:val="Style_26"/>
    <w:rPr>
      <w:b w:val="1"/>
      <w:sz w:val="24"/>
    </w:rPr>
  </w:style>
  <w:style w:styleId="Style_27" w:type="paragraph">
    <w:name w:val="toc 3"/>
    <w:next w:val="Style_15"/>
    <w:link w:val="Style_2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5" w:type="paragraph">
    <w:name w:val="Style1"/>
    <w:basedOn w:val="Style_15"/>
    <w:link w:val="Style_5_ch"/>
    <w:pPr>
      <w:widowControl w:val="0"/>
      <w:ind/>
    </w:pPr>
  </w:style>
  <w:style w:styleId="Style_5_ch" w:type="character">
    <w:name w:val="Style1"/>
    <w:basedOn w:val="Style_15_ch"/>
    <w:link w:val="Style_5"/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Body Text Indent 3"/>
    <w:basedOn w:val="Style_15"/>
    <w:link w:val="Style_29_ch"/>
    <w:pPr>
      <w:widowControl w:val="1"/>
      <w:spacing w:after="120"/>
      <w:ind w:left="283"/>
    </w:pPr>
    <w:rPr>
      <w:sz w:val="16"/>
    </w:rPr>
  </w:style>
  <w:style w:styleId="Style_29_ch" w:type="character">
    <w:name w:val="Body Text Indent 3"/>
    <w:basedOn w:val="Style_15_ch"/>
    <w:link w:val="Style_29"/>
    <w:rPr>
      <w:sz w:val="16"/>
    </w:rPr>
  </w:style>
  <w:style w:styleId="Style_30" w:type="paragraph">
    <w:name w:val="Знак Знак Знак Знак"/>
    <w:basedOn w:val="Style_15"/>
    <w:link w:val="Style_30_ch"/>
    <w:pPr>
      <w:widowControl w:val="0"/>
      <w:spacing w:after="160" w:line="240" w:lineRule="exact"/>
      <w:ind/>
      <w:jc w:val="right"/>
    </w:pPr>
    <w:rPr>
      <w:rFonts w:ascii="Arial" w:hAnsi="Arial"/>
      <w:sz w:val="20"/>
    </w:rPr>
  </w:style>
  <w:style w:styleId="Style_30_ch" w:type="character">
    <w:name w:val="Знак Знак Знак Знак"/>
    <w:basedOn w:val="Style_15_ch"/>
    <w:link w:val="Style_30"/>
    <w:rPr>
      <w:rFonts w:ascii="Arial" w:hAnsi="Arial"/>
      <w:sz w:val="20"/>
    </w:rPr>
  </w:style>
  <w:style w:styleId="Style_31" w:type="paragraph">
    <w:name w:val="ConsNormal"/>
    <w:link w:val="Style_31_ch"/>
    <w:pPr>
      <w:widowControl w:val="0"/>
      <w:ind w:firstLine="720" w:right="19772"/>
    </w:pPr>
    <w:rPr>
      <w:rFonts w:ascii="Arial" w:hAnsi="Arial"/>
    </w:rPr>
  </w:style>
  <w:style w:styleId="Style_31_ch" w:type="character">
    <w:name w:val="ConsNormal"/>
    <w:link w:val="Style_31"/>
    <w:rPr>
      <w:rFonts w:ascii="Arial" w:hAnsi="Arial"/>
    </w:rPr>
  </w:style>
  <w:style w:styleId="Style_32" w:type="paragraph">
    <w:name w:val="ConsNonformat"/>
    <w:link w:val="Style_32_ch"/>
    <w:pPr>
      <w:widowControl w:val="0"/>
      <w:ind w:right="19772"/>
    </w:pPr>
    <w:rPr>
      <w:rFonts w:ascii="Courier New" w:hAnsi="Courier New"/>
    </w:rPr>
  </w:style>
  <w:style w:styleId="Style_32_ch" w:type="character">
    <w:name w:val="ConsNonformat"/>
    <w:link w:val="Style_32"/>
    <w:rPr>
      <w:rFonts w:ascii="Courier New" w:hAnsi="Courier New"/>
    </w:rPr>
  </w:style>
  <w:style w:styleId="Style_33" w:type="paragraph">
    <w:name w:val="footer"/>
    <w:basedOn w:val="Style_15"/>
    <w:link w:val="Style_33_ch"/>
    <w:pPr>
      <w:widowControl w:val="1"/>
      <w:tabs>
        <w:tab w:leader="none" w:pos="4677" w:val="center"/>
        <w:tab w:leader="none" w:pos="9355" w:val="right"/>
      </w:tabs>
      <w:ind/>
    </w:pPr>
  </w:style>
  <w:style w:styleId="Style_33_ch" w:type="character">
    <w:name w:val="footer"/>
    <w:basedOn w:val="Style_15_ch"/>
    <w:link w:val="Style_33"/>
  </w:style>
  <w:style w:styleId="Style_34" w:type="paragraph">
    <w:name w:val="Strong"/>
    <w:link w:val="Style_34_ch"/>
    <w:rPr>
      <w:b w:val="1"/>
    </w:rPr>
  </w:style>
  <w:style w:styleId="Style_34_ch" w:type="character">
    <w:name w:val="Strong"/>
    <w:link w:val="Style_34"/>
    <w:rPr>
      <w:b w:val="1"/>
    </w:rPr>
  </w:style>
  <w:style w:styleId="Style_35" w:type="paragraph">
    <w:name w:val="heading 5"/>
    <w:next w:val="Style_15"/>
    <w:link w:val="Style_3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link w:val="Style_35"/>
    <w:rPr>
      <w:rFonts w:ascii="XO Thames" w:hAnsi="XO Thames"/>
      <w:b w:val="1"/>
      <w:sz w:val="22"/>
    </w:rPr>
  </w:style>
  <w:style w:styleId="Style_36" w:type="paragraph">
    <w:name w:val="Char Char Car Car Char Char Car Car Char Char Car Car Char Char"/>
    <w:basedOn w:val="Style_15"/>
    <w:link w:val="Style_36_ch"/>
    <w:pPr>
      <w:widowControl w:val="1"/>
      <w:spacing w:after="160" w:line="240" w:lineRule="exact"/>
      <w:ind/>
    </w:pPr>
    <w:rPr>
      <w:sz w:val="20"/>
    </w:rPr>
  </w:style>
  <w:style w:styleId="Style_36_ch" w:type="character">
    <w:name w:val="Char Char Car Car Char Char Car Car Char Char Car Car Char Char"/>
    <w:basedOn w:val="Style_15_ch"/>
    <w:link w:val="Style_36"/>
    <w:rPr>
      <w:sz w:val="20"/>
    </w:rPr>
  </w:style>
  <w:style w:styleId="Style_12" w:type="paragraph">
    <w:name w:val="heading 1"/>
    <w:basedOn w:val="Style_15"/>
    <w:next w:val="Style_15"/>
    <w:link w:val="Style_12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="Cambria" w:hAnsi="Cambria"/>
      <w:b w:val="1"/>
      <w:color w:val="366091"/>
      <w:sz w:val="28"/>
    </w:rPr>
  </w:style>
  <w:style w:styleId="Style_12_ch" w:type="character">
    <w:name w:val="heading 1"/>
    <w:basedOn w:val="Style_15_ch"/>
    <w:link w:val="Style_12"/>
    <w:rPr>
      <w:rFonts w:ascii="Cambria" w:hAnsi="Cambria"/>
      <w:b w:val="1"/>
      <w:color w:val="366091"/>
      <w:sz w:val="28"/>
    </w:rPr>
  </w:style>
  <w:style w:styleId="Style_8" w:type="paragraph">
    <w:name w:val="Hyperlink"/>
    <w:link w:val="Style_8_ch"/>
    <w:rPr>
      <w:color w:val="000080"/>
      <w:u w:val="single"/>
    </w:rPr>
  </w:style>
  <w:style w:styleId="Style_8_ch" w:type="character">
    <w:name w:val="Hyperlink"/>
    <w:link w:val="Style_8"/>
    <w:rPr>
      <w:color w:val="000080"/>
      <w:u w:val="single"/>
    </w:rPr>
  </w:style>
  <w:style w:styleId="Style_37" w:type="paragraph">
    <w:name w:val="Footnote"/>
    <w:basedOn w:val="Style_15"/>
    <w:link w:val="Style_37_ch"/>
    <w:rPr>
      <w:sz w:val="20"/>
    </w:rPr>
  </w:style>
  <w:style w:styleId="Style_37_ch" w:type="character">
    <w:name w:val="Footnote"/>
    <w:basedOn w:val="Style_15_ch"/>
    <w:link w:val="Style_37"/>
    <w:rPr>
      <w:sz w:val="20"/>
    </w:rPr>
  </w:style>
  <w:style w:styleId="Style_38" w:type="paragraph">
    <w:name w:val="toc 1"/>
    <w:next w:val="Style_15"/>
    <w:link w:val="Style_3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8_ch" w:type="character">
    <w:name w:val="toc 1"/>
    <w:link w:val="Style_38"/>
    <w:rPr>
      <w:rFonts w:ascii="XO Thames" w:hAnsi="XO Thames"/>
      <w:b w:val="1"/>
      <w:sz w:val="28"/>
    </w:rPr>
  </w:style>
  <w:style w:styleId="Style_39" w:type="paragraph">
    <w:name w:val=".FORMATTEXT"/>
    <w:link w:val="Style_39_ch"/>
    <w:pPr>
      <w:widowControl w:val="0"/>
      <w:ind/>
    </w:pPr>
    <w:rPr>
      <w:sz w:val="24"/>
    </w:rPr>
  </w:style>
  <w:style w:styleId="Style_39_ch" w:type="character">
    <w:name w:val=".FORMATTEXT"/>
    <w:link w:val="Style_39"/>
    <w:rPr>
      <w:sz w:val="24"/>
    </w:rPr>
  </w:style>
  <w:style w:styleId="Style_40" w:type="paragraph">
    <w:name w:val="Header and Footer"/>
    <w:link w:val="Style_40_ch"/>
    <w:pPr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41" w:type="paragraph">
    <w:name w:val="Body Text"/>
    <w:basedOn w:val="Style_15"/>
    <w:link w:val="Style_41_ch"/>
    <w:pPr>
      <w:widowControl w:val="1"/>
      <w:spacing w:after="120"/>
      <w:ind/>
    </w:pPr>
  </w:style>
  <w:style w:styleId="Style_41_ch" w:type="character">
    <w:name w:val="Body Text"/>
    <w:basedOn w:val="Style_15_ch"/>
    <w:link w:val="Style_41"/>
  </w:style>
  <w:style w:styleId="Style_42" w:type="paragraph">
    <w:name w:val="Название1"/>
    <w:basedOn w:val="Style_15"/>
    <w:next w:val="Style_15"/>
    <w:link w:val="Style_42_ch"/>
    <w:pPr>
      <w:widowControl w:val="1"/>
      <w:pBdr>
        <w:bottom w:color="4F81BD" w:space="4" w:sz="8" w:val="single"/>
      </w:pBdr>
      <w:spacing w:after="300"/>
      <w:ind/>
      <w:contextualSpacing w:val="1"/>
    </w:pPr>
    <w:rPr>
      <w:rFonts w:ascii="Cambria" w:hAnsi="Cambria"/>
      <w:color w:val="17365D"/>
      <w:spacing w:val="5"/>
      <w:sz w:val="52"/>
    </w:rPr>
  </w:style>
  <w:style w:styleId="Style_42_ch" w:type="character">
    <w:name w:val="Название1"/>
    <w:basedOn w:val="Style_15_ch"/>
    <w:link w:val="Style_42"/>
    <w:rPr>
      <w:rFonts w:ascii="Cambria" w:hAnsi="Cambria"/>
      <w:color w:val="17365D"/>
      <w:spacing w:val="5"/>
      <w:sz w:val="52"/>
    </w:rPr>
  </w:style>
  <w:style w:styleId="Style_43" w:type="paragraph">
    <w:name w:val="toc 9"/>
    <w:next w:val="Style_15"/>
    <w:link w:val="Style_4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3_ch" w:type="character">
    <w:name w:val="toc 9"/>
    <w:link w:val="Style_43"/>
    <w:rPr>
      <w:rFonts w:ascii="XO Thames" w:hAnsi="XO Thames"/>
      <w:sz w:val="28"/>
    </w:rPr>
  </w:style>
  <w:style w:styleId="Style_44" w:type="paragraph">
    <w:name w:val="Heading"/>
    <w:link w:val="Style_44_ch"/>
    <w:pPr>
      <w:widowControl w:val="0"/>
      <w:ind/>
    </w:pPr>
    <w:rPr>
      <w:rFonts w:ascii="Arial" w:hAnsi="Arial"/>
      <w:b w:val="1"/>
      <w:sz w:val="22"/>
    </w:rPr>
  </w:style>
  <w:style w:styleId="Style_44_ch" w:type="character">
    <w:name w:val="Heading"/>
    <w:link w:val="Style_44"/>
    <w:rPr>
      <w:rFonts w:ascii="Arial" w:hAnsi="Arial"/>
      <w:b w:val="1"/>
      <w:sz w:val="22"/>
    </w:rPr>
  </w:style>
  <w:style w:styleId="Style_45" w:type="paragraph">
    <w:name w:val="Body Text Indent 2"/>
    <w:basedOn w:val="Style_15"/>
    <w:link w:val="Style_45_ch"/>
    <w:pPr>
      <w:widowControl w:val="1"/>
      <w:ind w:firstLine="550" w:right="352"/>
      <w:jc w:val="both"/>
    </w:pPr>
    <w:rPr>
      <w:sz w:val="28"/>
    </w:rPr>
  </w:style>
  <w:style w:styleId="Style_45_ch" w:type="character">
    <w:name w:val="Body Text Indent 2"/>
    <w:basedOn w:val="Style_15_ch"/>
    <w:link w:val="Style_45"/>
    <w:rPr>
      <w:sz w:val="28"/>
    </w:rPr>
  </w:style>
  <w:style w:styleId="Style_46" w:type="paragraph">
    <w:name w:val="toc 8"/>
    <w:next w:val="Style_15"/>
    <w:link w:val="Style_4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7" w:type="paragraph">
    <w:name w:val="ConsPlusNormal"/>
    <w:link w:val="Style_7_ch"/>
    <w:rPr>
      <w:sz w:val="24"/>
    </w:rPr>
  </w:style>
  <w:style w:styleId="Style_7_ch" w:type="character">
    <w:name w:val="ConsPlusNormal"/>
    <w:link w:val="Style_7"/>
    <w:rPr>
      <w:sz w:val="24"/>
    </w:rPr>
  </w:style>
  <w:style w:styleId="Style_47" w:type="paragraph">
    <w:name w:val="toc 5"/>
    <w:next w:val="Style_15"/>
    <w:link w:val="Style_4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7_ch" w:type="character">
    <w:name w:val="toc 5"/>
    <w:link w:val="Style_47"/>
    <w:rPr>
      <w:rFonts w:ascii="XO Thames" w:hAnsi="XO Thames"/>
      <w:sz w:val="28"/>
    </w:rPr>
  </w:style>
  <w:style w:styleId="Style_48" w:type="paragraph">
    <w:name w:val="endnote reference"/>
    <w:link w:val="Style_48_ch"/>
    <w:rPr>
      <w:vertAlign w:val="superscript"/>
    </w:rPr>
  </w:style>
  <w:style w:styleId="Style_48_ch" w:type="character">
    <w:name w:val="endnote reference"/>
    <w:link w:val="Style_48"/>
    <w:rPr>
      <w:vertAlign w:val="superscript"/>
    </w:rPr>
  </w:style>
  <w:style w:styleId="Style_49" w:type="paragraph">
    <w:name w:val="Balloon Text"/>
    <w:basedOn w:val="Style_15"/>
    <w:link w:val="Style_49_ch"/>
    <w:rPr>
      <w:rFonts w:ascii="Tahoma" w:hAnsi="Tahoma"/>
      <w:sz w:val="16"/>
    </w:rPr>
  </w:style>
  <w:style w:styleId="Style_49_ch" w:type="character">
    <w:name w:val="Balloon Text"/>
    <w:basedOn w:val="Style_15_ch"/>
    <w:link w:val="Style_49"/>
    <w:rPr>
      <w:rFonts w:ascii="Tahoma" w:hAnsi="Tahoma"/>
      <w:sz w:val="16"/>
    </w:rPr>
  </w:style>
  <w:style w:styleId="Style_50" w:type="paragraph">
    <w:name w:val="bx-messenger-ajax"/>
    <w:link w:val="Style_50_ch"/>
  </w:style>
  <w:style w:styleId="Style_50_ch" w:type="character">
    <w:name w:val="bx-messenger-ajax"/>
    <w:link w:val="Style_50"/>
  </w:style>
  <w:style w:styleId="Style_51" w:type="paragraph">
    <w:name w:val="Subtitle"/>
    <w:next w:val="Style_15"/>
    <w:link w:val="Style_5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1_ch" w:type="character">
    <w:name w:val="Subtitle"/>
    <w:link w:val="Style_51"/>
    <w:rPr>
      <w:rFonts w:ascii="XO Thames" w:hAnsi="XO Thames"/>
      <w:i w:val="1"/>
      <w:sz w:val="24"/>
    </w:rPr>
  </w:style>
  <w:style w:styleId="Style_52" w:type="paragraph">
    <w:name w:val="Title"/>
    <w:next w:val="Style_15"/>
    <w:link w:val="Style_5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2_ch" w:type="character">
    <w:name w:val="Title"/>
    <w:link w:val="Style_52"/>
    <w:rPr>
      <w:rFonts w:ascii="XO Thames" w:hAnsi="XO Thames"/>
      <w:b w:val="1"/>
      <w:caps w:val="1"/>
      <w:sz w:val="40"/>
    </w:rPr>
  </w:style>
  <w:style w:styleId="Style_53" w:type="paragraph">
    <w:name w:val="heading 4"/>
    <w:next w:val="Style_15"/>
    <w:link w:val="Style_5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3_ch" w:type="character">
    <w:name w:val="heading 4"/>
    <w:link w:val="Style_53"/>
    <w:rPr>
      <w:rFonts w:ascii="XO Thames" w:hAnsi="XO Thames"/>
      <w:b w:val="1"/>
      <w:sz w:val="24"/>
    </w:rPr>
  </w:style>
  <w:style w:styleId="Style_54" w:type="paragraph">
    <w:name w:val="heading 2"/>
    <w:basedOn w:val="Style_15"/>
    <w:link w:val="Style_54_ch"/>
    <w:uiPriority w:val="9"/>
    <w:qFormat/>
    <w:pPr>
      <w:widowControl w:val="1"/>
      <w:ind/>
      <w:outlineLvl w:val="1"/>
    </w:pPr>
    <w:rPr>
      <w:rFonts w:ascii="Verdana" w:hAnsi="Verdana"/>
      <w:b w:val="1"/>
      <w:color w:val="780001"/>
      <w:sz w:val="18"/>
    </w:rPr>
  </w:style>
  <w:style w:styleId="Style_54_ch" w:type="character">
    <w:name w:val="heading 2"/>
    <w:basedOn w:val="Style_15_ch"/>
    <w:link w:val="Style_54"/>
    <w:rPr>
      <w:rFonts w:ascii="Verdana" w:hAnsi="Verdana"/>
      <w:b w:val="1"/>
      <w:color w:val="780001"/>
      <w:sz w:val="18"/>
    </w:rPr>
  </w:style>
  <w:style w:styleId="Style_55" w:type="paragraph">
    <w:name w:val="Style2"/>
    <w:basedOn w:val="Style_15"/>
    <w:link w:val="Style_55_ch"/>
    <w:pPr>
      <w:widowControl w:val="0"/>
      <w:spacing w:line="325" w:lineRule="exact"/>
      <w:ind/>
      <w:jc w:val="center"/>
    </w:pPr>
  </w:style>
  <w:style w:styleId="Style_55_ch" w:type="character">
    <w:name w:val="Style2"/>
    <w:basedOn w:val="Style_15_ch"/>
    <w:link w:val="Style_55"/>
  </w:style>
  <w:style w:default="1" w:styleId="Style_1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6" w:type="table">
    <w:name w:val="Сетка таблицы1"/>
    <w:basedOn w:val="Style_10"/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" w:type="table">
    <w:name w:val="Table Grid"/>
    <w:basedOn w:val="Style_1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5" Target="fontTable.xml" Type="http://schemas.openxmlformats.org/officeDocument/2006/relationships/fontTable"/>
  <Relationship Id="rId15" Target="header15.xml" Type="http://schemas.openxmlformats.org/officeDocument/2006/relationships/header"/>
  <Relationship Id="rId42" Target="endnotes.xml" Type="http://schemas.openxmlformats.org/officeDocument/2006/relationships/endnotes"/>
  <Relationship Id="rId36" Target="settings.xml" Type="http://schemas.openxmlformats.org/officeDocument/2006/relationships/settings"/>
  <Relationship Id="rId34" Target="media/1.wmf" Type="http://schemas.openxmlformats.org/officeDocument/2006/relationships/image"/>
  <Relationship Id="rId30" Target="header30.xml" Type="http://schemas.openxmlformats.org/officeDocument/2006/relationships/header"/>
  <Relationship Id="rId27" Target="header27.xml" Type="http://schemas.openxmlformats.org/officeDocument/2006/relationships/header"/>
  <Relationship Id="rId3" Target="header3.xml" Type="http://schemas.openxmlformats.org/officeDocument/2006/relationships/header"/>
  <Relationship Id="rId41" Target="footnotes.xml" Type="http://schemas.openxmlformats.org/officeDocument/2006/relationships/footnotes"/>
  <Relationship Id="rId29" Target="header29.xml" Type="http://schemas.openxmlformats.org/officeDocument/2006/relationships/header"/>
  <Relationship Id="rId5" Target="header5.xml" Type="http://schemas.openxmlformats.org/officeDocument/2006/relationships/header"/>
  <Relationship Id="rId12" Target="header12.xml" Type="http://schemas.openxmlformats.org/officeDocument/2006/relationships/header"/>
  <Relationship Id="rId43" Target="numbering.xml" Type="http://schemas.openxmlformats.org/officeDocument/2006/relationships/numbering"/>
  <Relationship Id="rId31" Target="header31.xml" Type="http://schemas.openxmlformats.org/officeDocument/2006/relationships/header"/>
  <Relationship Id="rId13" Target="header13.xml" Type="http://schemas.openxmlformats.org/officeDocument/2006/relationships/header"/>
  <Relationship Id="rId6" Target="header6.xml" Type="http://schemas.openxmlformats.org/officeDocument/2006/relationships/header"/>
  <Relationship Id="rId39" Target="webSettings.xml" Type="http://schemas.openxmlformats.org/officeDocument/2006/relationships/webSettings"/>
  <Relationship Id="rId4" Target="header4.xml" Type="http://schemas.openxmlformats.org/officeDocument/2006/relationships/header"/>
  <Relationship Id="rId23" Target="header23.xml" Type="http://schemas.openxmlformats.org/officeDocument/2006/relationships/header"/>
  <Relationship Id="rId21" Target="header21.xml" Type="http://schemas.openxmlformats.org/officeDocument/2006/relationships/header"/>
  <Relationship Id="rId22" Target="header22.xml" Type="http://schemas.openxmlformats.org/officeDocument/2006/relationships/header"/>
  <Relationship Id="rId37" Target="styles.xml" Type="http://schemas.openxmlformats.org/officeDocument/2006/relationships/styles"/>
  <Relationship Id="rId28" Target="header28.xml" Type="http://schemas.openxmlformats.org/officeDocument/2006/relationships/header"/>
  <Relationship Id="rId8" Target="header8.xml" Type="http://schemas.openxmlformats.org/officeDocument/2006/relationships/header"/>
  <Relationship Id="rId32" Target="header32.xml" Type="http://schemas.openxmlformats.org/officeDocument/2006/relationships/header"/>
  <Relationship Id="rId9" Target="header9.xml" Type="http://schemas.openxmlformats.org/officeDocument/2006/relationships/header"/>
  <Relationship Id="rId20" Target="header20.xml" Type="http://schemas.openxmlformats.org/officeDocument/2006/relationships/header"/>
  <Relationship Id="rId19" Target="header19.xml" Type="http://schemas.openxmlformats.org/officeDocument/2006/relationships/header"/>
  <Relationship Id="rId11" Target="header11.xml" Type="http://schemas.openxmlformats.org/officeDocument/2006/relationships/header"/>
  <Relationship Id="rId40" Target="theme/theme1.xml" Type="http://schemas.openxmlformats.org/officeDocument/2006/relationships/theme"/>
  <Relationship Id="rId14" Target="header14.xml" Type="http://schemas.openxmlformats.org/officeDocument/2006/relationships/header"/>
  <Relationship Id="rId16" Target="header16.xml" Type="http://schemas.openxmlformats.org/officeDocument/2006/relationships/header"/>
  <Relationship Id="rId10" Target="header10.xml" Type="http://schemas.openxmlformats.org/officeDocument/2006/relationships/header"/>
  <Relationship Id="rId7" Target="header7.xml" Type="http://schemas.openxmlformats.org/officeDocument/2006/relationships/header"/>
  <Relationship Id="rId33" Target="header33.xml" Type="http://schemas.openxmlformats.org/officeDocument/2006/relationships/header"/>
  <Relationship Id="rId25" Target="header25.xml" Type="http://schemas.openxmlformats.org/officeDocument/2006/relationships/header"/>
  <Relationship Id="rId17" Target="header17.xml" Type="http://schemas.openxmlformats.org/officeDocument/2006/relationships/header"/>
  <Relationship Id="rId26" Target="header26.xml" Type="http://schemas.openxmlformats.org/officeDocument/2006/relationships/header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18" Target="header18.xml" Type="http://schemas.openxmlformats.org/officeDocument/2006/relationships/header"/>
  <Relationship Id="rId24" Target="header24.xml" Type="http://schemas.openxmlformats.org/officeDocument/2006/relationships/header"/>
  <Relationship Id="rId38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2025-07-24T11:24:54Z</dcterms:created>
  <dcterms:modified xsi:type="dcterms:W3CDTF">2025-07-24T11:24:54Z</dcterms:modified>
</cp:coreProperties>
</file>