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xml"/>
  <Override ContentType="application/vnd.openxmlformats-officedocument.wordprocessingml.header+xml" PartName="/word/header20.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23000000">
      <w:pPr>
        <w:widowControl w:val="0"/>
        <w:tabs>
          <w:tab w:leader="none" w:pos="0" w:val="left"/>
          <w:tab w:leader="none" w:pos="1276" w:val="left"/>
          <w:tab w:leader="none" w:pos="2694" w:val="left"/>
        </w:tabs>
        <w:ind w:firstLine="567"/>
        <w:jc w:val="both"/>
      </w:pPr>
      <w:r>
        <w:rPr>
          <w:color w:themeColor="text1" w:val="00000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07950" distL="114300" distR="114300" distT="0" layoutInCell="true" locked="false" relativeHeight="251658240" simplePos="false">
                <wp:simplePos x="0" y="0"/>
                <wp:positionH relativeFrom="column">
                  <wp:posOffset>53339</wp:posOffset>
                </wp:positionH>
                <wp:positionV relativeFrom="paragraph">
                  <wp:posOffset>2327910</wp:posOffset>
                </wp:positionV>
                <wp:extent cx="3298825" cy="1314450"/>
                <wp:wrapTopAndBottom distB="107950" distT="0"/>
                <wp:docPr hidden="false" id="1" name="Picture 1"/>
                <a:graphic>
                  <a:graphicData uri="http://schemas.microsoft.com/office/word/2010/wordprocessingShape">
                    <wps:wsp>
                      <wps:cNvSpPr txBox="false"/>
                      <wps:spPr>
                        <a:xfrm flipH="false" flipV="false" rot="0">
                          <a:off x="0" y="0"/>
                          <a:ext cx="3298825" cy="1314450"/>
                        </a:xfrm>
                        <a:prstGeom prst="rect">
                          <a:avLst/>
                        </a:prstGeom>
                        <a:noFill/>
                        <a:ln>
                          <a:noFill/>
                        </a:ln>
                      </wps:spPr>
                      <wps:txbx>
                        <w:txbxContent>
                          <w:p w14:paraId="24000000">
                            <w:pPr>
                              <w:pStyle w:val="Style_3"/>
                              <w:rPr>
                                <w:rFonts w:ascii="Times New Roman" w:hAnsi="Times New Roman"/>
                                <w:b w:val="1"/>
                                <w:color w:val="000000"/>
                                <w:sz w:val="24"/>
                              </w:rPr>
                            </w:pPr>
                            <w:r>
                              <w:rPr>
                                <w:rFonts w:ascii="Times New Roman" w:hAnsi="Times New Roman"/>
                                <w:b w:val="1"/>
                                <w:color w:val="000000"/>
                                <w:sz w:val="24"/>
                              </w:rPr>
                              <w:t xml:space="preserve">Об утверждении Порядка </w:t>
                            </w:r>
                          </w:p>
                          <w:p w14:paraId="25000000">
                            <w:pPr>
                              <w:pStyle w:val="Style_3"/>
                              <w:rPr>
                                <w:rFonts w:ascii="Times New Roman" w:hAnsi="Times New Roman"/>
                                <w:b w:val="1"/>
                                <w:color w:val="000000"/>
                                <w:sz w:val="24"/>
                              </w:rPr>
                            </w:pPr>
                            <w:r>
                              <w:rPr>
                                <w:rFonts w:ascii="Times New Roman" w:hAnsi="Times New Roman"/>
                                <w:b w:val="1"/>
                                <w:color w:val="000000"/>
                                <w:sz w:val="24"/>
                              </w:rPr>
                              <w:t xml:space="preserve">предоставления в 2025 году субсидий субъектам деятельности в сфере промышленности в Санкт-Петербурге </w:t>
                            </w:r>
                            <w:r>
                              <w:rPr>
                                <w:rFonts w:ascii="Times New Roman" w:hAnsi="Times New Roman"/>
                                <w:b w:val="1"/>
                                <w:color w:val="000000"/>
                                <w:sz w:val="24"/>
                              </w:rPr>
                              <w:br/>
                            </w:r>
                            <w:r>
                              <w:rPr>
                                <w:rFonts w:ascii="Times New Roman" w:hAnsi="Times New Roman"/>
                                <w:b w:val="1"/>
                                <w:color w:val="000000"/>
                                <w:sz w:val="24"/>
                              </w:rPr>
                              <w:t xml:space="preserve">в целях возмещения части затрат </w:t>
                            </w:r>
                            <w:r>
                              <w:rPr>
                                <w:rFonts w:ascii="Times New Roman" w:hAnsi="Times New Roman"/>
                                <w:b w:val="1"/>
                                <w:color w:val="000000"/>
                                <w:sz w:val="24"/>
                              </w:rPr>
                              <w:br/>
                            </w:r>
                            <w:r>
                              <w:rPr>
                                <w:rFonts w:ascii="Times New Roman" w:hAnsi="Times New Roman"/>
                                <w:b w:val="1"/>
                                <w:color w:val="000000"/>
                                <w:sz w:val="24"/>
                              </w:rPr>
                              <w:t>организаций, связанных с осуществлением найма жилья сотрудникам из других регионов</w:t>
                            </w:r>
                          </w:p>
                          <w:p w14:paraId="26000000">
                            <w:pPr>
                              <w:pStyle w:val="Style_3"/>
                              <w:rPr>
                                <w:rFonts w:ascii="Times New Roman" w:hAnsi="Times New Roman"/>
                                <w:b w:val="1"/>
                                <w:color w:val="000000"/>
                                <w:sz w:val="24"/>
                              </w:rPr>
                            </w:pP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drawing>
          <wp:anchor allowOverlap="true" behindDoc="false" distB="107950" distL="114300" distR="114300" distT="0" layoutInCell="true" locked="false" relativeHeight="251658240" simplePos="false">
            <wp:simplePos x="0" y="0"/>
            <wp:positionH relativeFrom="page">
              <wp:posOffset>937260</wp:posOffset>
            </wp:positionH>
            <wp:positionV relativeFrom="paragraph">
              <wp:posOffset>56514</wp:posOffset>
            </wp:positionV>
            <wp:extent cx="6389370" cy="2435860"/>
            <wp:effectExtent b="0" l="0" r="0" t="0"/>
            <wp:wrapTopAndBottom distB="107950" distT="0"/>
            <wp:docPr hidden="false" id="3" name="Picture 3"/>
            <a:graphic>
              <a:graphicData uri="http://schemas.openxmlformats.org/drawingml/2006/picture">
                <pic:pic>
                  <pic:nvPicPr>
                    <pic:cNvPr hidden="false" id="2" name="Picture 2"/>
                    <pic:cNvPicPr preferRelativeResize="true"/>
                  </pic:nvPicPr>
                  <pic:blipFill>
                    <a:blip r:embed="rId21"/>
                    <a:srcRect b="0" l="12883" r="0" t="0"/>
                    <a:stretch/>
                  </pic:blipFill>
                  <pic:spPr>
                    <a:xfrm flipH="false" flipV="false" rot="0">
                      <a:ext cx="6389370" cy="2435860"/>
                    </a:xfrm>
                    <a:prstGeom prst="rect"/>
                  </pic:spPr>
                </pic:pic>
              </a:graphicData>
            </a:graphic>
          </wp:anchor>
        </w:drawing>
      </w:r>
      <w:r>
        <w:rPr>
          <w:color w:themeColor="text1" w:val="000000"/>
        </w:rPr>
        <w:t xml:space="preserve">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5623560</wp:posOffset>
                </wp:positionH>
                <wp:positionV relativeFrom="paragraph">
                  <wp:posOffset>1263650</wp:posOffset>
                </wp:positionV>
                <wp:extent cx="1270000" cy="137160"/>
                <wp:wrapNone/>
                <wp:docPr hidden="false" id="4" name="Picture 4"/>
                <a:graphic>
                  <a:graphicData uri="http://schemas.microsoft.com/office/word/2010/wordprocessingShape">
                    <wps:wsp>
                      <wps:cNvSpPr txBox="false"/>
                      <wps:spPr>
                        <a:xfrm flipH="false" flipV="false" rot="0">
                          <a:off x="0" y="0"/>
                          <a:ext cx="1270000" cy="137160"/>
                        </a:xfrm>
                        <a:prstGeom prst="rect">
                          <a:avLst/>
                        </a:prstGeom>
                        <a:noFill/>
                        <a:ln>
                          <a:noFill/>
                        </a:ln>
                      </wps:spPr>
                      <wps:txbx>
                        <w:txbxContent>
                          <w:p w14:paraId="27000000">
                            <w:pPr>
                              <w:pStyle w:val="Style_4"/>
                              <w:rPr>
                                <w:rFonts w:ascii="Times New Roman" w:hAnsi="Times New Roman"/>
                                <w:color w:val="000000"/>
                                <w:sz w:val="16"/>
                              </w:rPr>
                            </w:pP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5623560</wp:posOffset>
                </wp:positionH>
                <wp:positionV relativeFrom="paragraph">
                  <wp:posOffset>1263650</wp:posOffset>
                </wp:positionV>
                <wp:extent cx="1270000" cy="137160"/>
                <wp:wrapNone/>
                <wp:docPr hidden="false" id="5" name="Picture 5"/>
                <a:graphic>
                  <a:graphicData uri="http://schemas.microsoft.com/office/word/2010/wordprocessingShape">
                    <wps:wsp>
                      <wps:cNvSpPr txBox="false"/>
                      <wps:spPr>
                        <a:xfrm flipH="false" flipV="false" rot="0">
                          <a:off x="0" y="0"/>
                          <a:ext cx="1270000" cy="137160"/>
                        </a:xfrm>
                        <a:prstGeom prst="rect">
                          <a:avLst/>
                        </a:prstGeom>
                        <a:noFill/>
                        <a:ln>
                          <a:noFill/>
                        </a:ln>
                      </wps:spPr>
                      <wps:txbx>
                        <w:txbxContent>
                          <w:p w14:paraId="28000000">
                            <w:pPr>
                              <w:pStyle w:val="Style_4"/>
                              <w:rPr>
                                <w:rFonts w:ascii="Times New Roman" w:hAnsi="Times New Roman"/>
                                <w:color w:val="000000"/>
                                <w:sz w:val="16"/>
                              </w:rPr>
                            </w:pP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w:t>
      </w:r>
      <w:r>
        <w:br/>
      </w:r>
      <w:r>
        <w:t xml:space="preserve">Российской Федерации от 25.10.2023 № 1782 (далее – общие требования), Законом </w:t>
      </w:r>
      <w:r>
        <w:br/>
      </w:r>
      <w:r>
        <w:t xml:space="preserve">Санкт-Петербурга от 13.05.2009 № 221-47 «О промышленной политике </w:t>
      </w:r>
      <w:r>
        <w:br/>
      </w:r>
      <w:r>
        <w:t xml:space="preserve">в Санкт-Петербурге», Законом Санкт-Петербурга от 27.11.2024 № 730-165 «О бюджете Санкт-Петербурга на 2025 год и на плановый период 2026 и 2027 годов», постановлением Правительства Санкт-Петербурга от 23.06.2014 № 495 «О государственной программе Санкт-Петербурга «Развитие промышленности, инновационной деятельности </w:t>
      </w:r>
      <w:r>
        <w:br/>
      </w:r>
      <w:r>
        <w:t>и агропромышленного комплекса в Санкт-Петербурге» Правительство Санкт-Петербурга</w:t>
      </w:r>
    </w:p>
    <w:p w14:paraId="29000000">
      <w:pPr>
        <w:widowControl w:val="0"/>
        <w:tabs>
          <w:tab w:leader="none" w:pos="709" w:val="left"/>
          <w:tab w:leader="none" w:pos="1276" w:val="left"/>
        </w:tabs>
        <w:ind w:firstLine="567" w:left="709"/>
        <w:contextualSpacing w:val="1"/>
        <w:jc w:val="both"/>
      </w:pPr>
    </w:p>
    <w:p w14:paraId="2A000000">
      <w:pPr>
        <w:widowControl w:val="0"/>
        <w:tabs>
          <w:tab w:leader="none" w:pos="0" w:val="left"/>
          <w:tab w:leader="none" w:pos="1276" w:val="left"/>
        </w:tabs>
        <w:ind/>
        <w:contextualSpacing w:val="1"/>
        <w:jc w:val="both"/>
        <w:rPr>
          <w:b w:val="1"/>
        </w:rPr>
      </w:pPr>
      <w:r>
        <w:rPr>
          <w:b w:val="1"/>
        </w:rPr>
        <w:t>П О С Т А Н О В Л Я Е Т:</w:t>
      </w:r>
    </w:p>
    <w:p w14:paraId="2B000000">
      <w:pPr>
        <w:widowControl w:val="0"/>
        <w:tabs>
          <w:tab w:leader="none" w:pos="0" w:val="left"/>
          <w:tab w:leader="none" w:pos="1276" w:val="left"/>
        </w:tabs>
        <w:ind w:firstLine="709"/>
        <w:contextualSpacing w:val="1"/>
        <w:jc w:val="both"/>
        <w:rPr>
          <w:b w:val="1"/>
        </w:rPr>
      </w:pPr>
    </w:p>
    <w:p w14:paraId="2C000000">
      <w:pPr>
        <w:pStyle w:val="Style_5"/>
        <w:widowControl w:val="1"/>
        <w:numPr>
          <w:ilvl w:val="0"/>
          <w:numId w:val="1"/>
        </w:numPr>
        <w:tabs>
          <w:tab w:leader="none" w:pos="0" w:val="left"/>
          <w:tab w:leader="none" w:pos="1134" w:val="left"/>
        </w:tabs>
        <w:spacing w:line="240" w:lineRule="auto"/>
        <w:ind w:firstLine="567" w:left="0"/>
        <w:jc w:val="both"/>
      </w:pPr>
      <w:r>
        <w:t xml:space="preserve">Утвердить Порядок предоставления в 2025 году субсидий субъектам деятельности в сфере промышленности в Санкт-Петербурге </w:t>
      </w:r>
      <w:r>
        <w:rPr>
          <w:color w:themeColor="text1" w:val="000000"/>
        </w:rPr>
        <w:t>в целях возмещения части затрат организаций, связанных с осуществлением найма жилья сотрудникам из других регионов (далее – Порядок), согласно приложению</w:t>
      </w:r>
      <w:r>
        <w:t>.</w:t>
      </w:r>
    </w:p>
    <w:p w14:paraId="2D000000">
      <w:pPr>
        <w:pStyle w:val="Style_5"/>
        <w:widowControl w:val="1"/>
        <w:numPr>
          <w:ilvl w:val="0"/>
          <w:numId w:val="1"/>
        </w:numPr>
        <w:tabs>
          <w:tab w:leader="none" w:pos="0" w:val="left"/>
          <w:tab w:leader="none" w:pos="1134" w:val="left"/>
        </w:tabs>
        <w:spacing w:line="240" w:lineRule="auto"/>
        <w:ind w:firstLine="567" w:left="0"/>
        <w:jc w:val="both"/>
      </w:pPr>
      <w:r>
        <w:t xml:space="preserve">Комитету по промышленной политике, инновациям и торговле </w:t>
      </w:r>
      <w:r>
        <w:br/>
      </w:r>
      <w:r>
        <w:t>Санкт-Петербурга (далее – Комитет) в соответствии с подпунктом 2 пункта 2 статьи 78 Бюджетного кодекса Российской Федерации и общими требованиями в целях реализации Порядка в месячный срок принять нормативный правовой акт, регулирующий отдельные вопросы предоставления субсидий, которым установить:</w:t>
      </w:r>
    </w:p>
    <w:p w14:paraId="2E000000">
      <w:pPr>
        <w:pStyle w:val="Style_5"/>
        <w:widowControl w:val="1"/>
        <w:tabs>
          <w:tab w:leader="none" w:pos="0" w:val="left"/>
          <w:tab w:leader="none" w:pos="1134" w:val="left"/>
        </w:tabs>
        <w:spacing w:line="240" w:lineRule="auto"/>
        <w:ind w:firstLine="567"/>
        <w:contextualSpacing w:val="1"/>
        <w:jc w:val="both"/>
      </w:pPr>
      <w:r>
        <w:t xml:space="preserve">срок размещения на веб-странице Комитета на официальном сайте Администрации Санкт-Петербурга в информационно-телекоммуникационной сети «Интернет» </w:t>
      </w:r>
      <w:r>
        <w:br/>
      </w:r>
      <w:r>
        <w:t>(далее – сеть «Интернет») по адресу www.gov.spb.ru/</w:t>
      </w:r>
      <w:r>
        <w:t>gov</w:t>
      </w:r>
      <w:r>
        <w:t>/</w:t>
      </w:r>
      <w:r>
        <w:t>otrasl</w:t>
      </w:r>
      <w:r>
        <w:t>/</w:t>
      </w:r>
      <w:r>
        <w:t>c_industrial_and_trade</w:t>
      </w:r>
      <w:r>
        <w:t xml:space="preserve">/, </w:t>
      </w:r>
      <w:r>
        <w:br/>
      </w:r>
      <w:r>
        <w:t xml:space="preserve">на официальном сайте Комитета в сети «Интернет» по адресу www.cipit.gov.spb.ru, </w:t>
      </w:r>
      <w:r>
        <w:br/>
      </w:r>
      <w:r>
        <w:t xml:space="preserve">а также в подсистеме «Площадка отбора получателей субсидий» Автоматизированной </w:t>
      </w:r>
      <w:r>
        <w:t xml:space="preserve">информационной системы бюджетного процесса – электронное казначейство по адресу https://edo.fincom.gov.spb.ru/subsidy-lk объявления о проведении отбора на право получения субсидий (далее – объявление о проведении отбора) с указанием информации </w:t>
      </w:r>
      <w:r>
        <w:br/>
      </w:r>
      <w:r>
        <w:t>в соответствии с пунктом 2.2 Порядка;</w:t>
      </w:r>
    </w:p>
    <w:p w14:paraId="2F000000">
      <w:pPr>
        <w:pStyle w:val="Style_5"/>
        <w:widowControl w:val="1"/>
        <w:tabs>
          <w:tab w:leader="none" w:pos="0" w:val="left"/>
          <w:tab w:leader="none" w:pos="1134" w:val="left"/>
        </w:tabs>
        <w:spacing w:line="240" w:lineRule="auto"/>
        <w:ind w:firstLine="567"/>
        <w:contextualSpacing w:val="1"/>
        <w:jc w:val="both"/>
      </w:pPr>
      <w:r>
        <w:t>порядок внесения изменений в объявление о проведении отбора.</w:t>
      </w:r>
    </w:p>
    <w:p w14:paraId="30000000">
      <w:pPr>
        <w:pStyle w:val="Style_5"/>
        <w:widowControl w:val="1"/>
        <w:tabs>
          <w:tab w:leader="none" w:pos="0" w:val="left"/>
          <w:tab w:leader="none" w:pos="1701" w:val="left"/>
        </w:tabs>
        <w:spacing w:line="240" w:lineRule="auto"/>
        <w:ind w:firstLine="567"/>
        <w:jc w:val="both"/>
        <w:rPr>
          <w:b w:val="1"/>
        </w:rPr>
      </w:pPr>
      <w:r>
        <w:t xml:space="preserve">3. Контроль за выполнением постановления возложить на вице-губернатора </w:t>
      </w:r>
      <w:r>
        <w:br/>
      </w:r>
      <w:r>
        <w:t>Санкт-Петербурга Полякова К.В.</w:t>
      </w:r>
    </w:p>
    <w:p w14:paraId="31000000">
      <w:pPr>
        <w:widowControl w:val="1"/>
        <w:tabs>
          <w:tab w:leader="none" w:pos="709" w:val="left"/>
        </w:tabs>
        <w:ind w:left="851"/>
        <w:jc w:val="both"/>
        <w:rPr>
          <w:sz w:val="20"/>
        </w:rPr>
      </w:pPr>
    </w:p>
    <w:p w14:paraId="32000000">
      <w:pPr>
        <w:widowControl w:val="1"/>
        <w:tabs>
          <w:tab w:leader="none" w:pos="709" w:val="left"/>
        </w:tabs>
        <w:ind w:left="851"/>
        <w:jc w:val="both"/>
        <w:rPr>
          <w:sz w:val="20"/>
        </w:rPr>
      </w:pPr>
    </w:p>
    <w:p w14:paraId="33000000">
      <w:pPr>
        <w:widowControl w:val="1"/>
        <w:tabs>
          <w:tab w:leader="none" w:pos="709" w:val="left"/>
        </w:tabs>
        <w:ind w:left="851"/>
        <w:jc w:val="both"/>
        <w:rPr>
          <w:sz w:val="20"/>
        </w:rPr>
      </w:pPr>
    </w:p>
    <w:p w14:paraId="34000000">
      <w:pPr>
        <w:widowControl w:val="1"/>
        <w:tabs>
          <w:tab w:leader="none" w:pos="709" w:val="left"/>
        </w:tabs>
        <w:ind w:hanging="851" w:left="851"/>
        <w:rPr>
          <w:b w:val="1"/>
        </w:rPr>
      </w:pPr>
      <w:r>
        <w:rPr>
          <w:b w:val="1"/>
        </w:rPr>
        <w:t xml:space="preserve">       Губернатор </w:t>
      </w:r>
    </w:p>
    <w:p w14:paraId="35000000">
      <w:pPr>
        <w:widowControl w:val="1"/>
        <w:tabs>
          <w:tab w:leader="none" w:pos="709" w:val="left"/>
        </w:tabs>
        <w:ind w:hanging="851"/>
        <w:rPr>
          <w:b w:val="1"/>
        </w:rPr>
      </w:pPr>
      <w:r>
        <w:rPr>
          <w:b w:val="1"/>
        </w:rPr>
        <w:t xml:space="preserve">              Санкт-Петербурга </w:t>
      </w:r>
      <w:r>
        <w:rPr>
          <w:b w:val="1"/>
        </w:rPr>
        <w:tab/>
      </w:r>
      <w:r>
        <w:rPr>
          <w:b w:val="1"/>
        </w:rPr>
        <w:tab/>
      </w:r>
      <w:r>
        <w:rPr>
          <w:b w:val="1"/>
        </w:rPr>
        <w:tab/>
      </w:r>
      <w:r>
        <w:rPr>
          <w:b w:val="1"/>
        </w:rPr>
        <w:tab/>
      </w:r>
      <w:r>
        <w:rPr>
          <w:b w:val="1"/>
        </w:rPr>
        <w:t xml:space="preserve">                                                                </w:t>
      </w:r>
      <w:r>
        <w:rPr>
          <w:b w:val="1"/>
        </w:rPr>
        <w:t>А.Д.Беглов</w:t>
      </w:r>
    </w:p>
    <w:p w14:paraId="36000000">
      <w:pPr>
        <w:sectPr>
          <w:headerReference r:id="rId3" w:type="default"/>
          <w:headerReference r:id="rId18" w:type="even"/>
          <w:type w:val="continuous"/>
          <w:pgSz w:h="16838" w:orient="portrait" w:w="11906"/>
          <w:pgMar w:bottom="1134" w:footer="709" w:gutter="0" w:header="709" w:left="1701" w:right="851" w:top="1134"/>
          <w:titlePg/>
        </w:sectPr>
      </w:pPr>
    </w:p>
    <w:p w14:paraId="37000000">
      <w:pPr>
        <w:pStyle w:val="Style_6"/>
        <w:widowControl w:val="1"/>
        <w:ind w:left="5812"/>
        <w:rPr>
          <w:rStyle w:val="Style_7_ch"/>
          <w:color w:themeColor="text1" w:val="000000"/>
          <w:sz w:val="24"/>
        </w:rPr>
      </w:pPr>
      <w:r>
        <w:rPr>
          <w:rStyle w:val="Style_7_ch"/>
          <w:color w:themeColor="text1" w:val="000000"/>
          <w:sz w:val="24"/>
        </w:rPr>
        <w:t xml:space="preserve">Приложение </w:t>
      </w:r>
    </w:p>
    <w:p w14:paraId="38000000">
      <w:pPr>
        <w:pStyle w:val="Style_6"/>
        <w:widowControl w:val="1"/>
        <w:ind w:left="5812"/>
        <w:rPr>
          <w:rStyle w:val="Style_7_ch"/>
          <w:color w:themeColor="text1" w:val="000000"/>
          <w:sz w:val="24"/>
        </w:rPr>
      </w:pPr>
      <w:r>
        <w:rPr>
          <w:rStyle w:val="Style_7_ch"/>
          <w:color w:themeColor="text1" w:val="000000"/>
          <w:sz w:val="24"/>
        </w:rPr>
        <w:t xml:space="preserve">к постановлению Правительства </w:t>
      </w:r>
      <w:r>
        <w:rPr>
          <w:rStyle w:val="Style_7_ch"/>
          <w:color w:themeColor="text1" w:val="000000"/>
          <w:sz w:val="24"/>
        </w:rPr>
        <w:br/>
      </w:r>
      <w:r>
        <w:rPr>
          <w:rStyle w:val="Style_7_ch"/>
          <w:color w:themeColor="text1" w:val="000000"/>
          <w:sz w:val="24"/>
        </w:rPr>
        <w:t xml:space="preserve">Санкт-Петербурга </w:t>
      </w:r>
    </w:p>
    <w:p w14:paraId="39000000">
      <w:pPr>
        <w:pStyle w:val="Style_6"/>
        <w:widowControl w:val="1"/>
        <w:ind w:left="5812"/>
        <w:rPr>
          <w:rStyle w:val="Style_7_ch"/>
          <w:color w:themeColor="text1" w:val="000000"/>
        </w:rPr>
      </w:pPr>
      <w:r>
        <w:rPr>
          <w:rStyle w:val="Style_7_ch"/>
          <w:color w:themeColor="text1" w:val="000000"/>
        </w:rPr>
        <w:t>от ___________ № __________</w:t>
      </w:r>
    </w:p>
    <w:p w14:paraId="3A000000">
      <w:pPr>
        <w:pStyle w:val="Style_6"/>
        <w:widowControl w:val="1"/>
        <w:ind w:left="5812"/>
        <w:rPr>
          <w:rStyle w:val="Style_7_ch"/>
          <w:color w:themeColor="text1" w:val="000000"/>
        </w:rPr>
      </w:pPr>
    </w:p>
    <w:p w14:paraId="3B000000">
      <w:pPr>
        <w:pStyle w:val="Style_6"/>
        <w:widowControl w:val="1"/>
        <w:ind w:left="5812"/>
        <w:rPr>
          <w:rStyle w:val="Style_7_ch"/>
          <w:color w:themeColor="text1" w:val="000000"/>
        </w:rPr>
      </w:pPr>
    </w:p>
    <w:p w14:paraId="3C000000">
      <w:pPr>
        <w:pStyle w:val="Style_6"/>
        <w:widowControl w:val="1"/>
        <w:ind w:left="5812"/>
        <w:rPr>
          <w:rStyle w:val="Style_7_ch"/>
          <w:color w:themeColor="text1" w:val="000000"/>
        </w:rPr>
      </w:pPr>
    </w:p>
    <w:p w14:paraId="3D000000">
      <w:pPr>
        <w:pStyle w:val="Style_6"/>
        <w:widowControl w:val="1"/>
        <w:ind w:left="5812"/>
        <w:rPr>
          <w:rStyle w:val="Style_7_ch"/>
          <w:color w:themeColor="text1" w:val="000000"/>
        </w:rPr>
      </w:pPr>
    </w:p>
    <w:p w14:paraId="3E000000">
      <w:pPr>
        <w:widowControl w:val="0"/>
        <w:tabs>
          <w:tab w:leader="none" w:pos="0" w:val="left"/>
        </w:tabs>
        <w:ind/>
        <w:jc w:val="center"/>
        <w:rPr>
          <w:b w:val="1"/>
          <w:color w:themeColor="text1" w:val="000000"/>
          <w:spacing w:val="40"/>
        </w:rPr>
      </w:pPr>
      <w:r>
        <w:rPr>
          <w:b w:val="1"/>
          <w:color w:themeColor="text1" w:val="000000"/>
          <w:spacing w:val="40"/>
        </w:rPr>
        <w:t>ПОРЯДОК</w:t>
      </w:r>
    </w:p>
    <w:p w14:paraId="3F000000">
      <w:pPr>
        <w:widowControl w:val="0"/>
        <w:tabs>
          <w:tab w:leader="none" w:pos="0" w:val="left"/>
        </w:tabs>
        <w:ind/>
        <w:jc w:val="center"/>
        <w:rPr>
          <w:b w:val="1"/>
          <w:color w:themeColor="text1" w:val="000000"/>
        </w:rPr>
      </w:pPr>
      <w:r>
        <w:rPr>
          <w:b w:val="1"/>
          <w:color w:themeColor="text1" w:val="000000"/>
        </w:rPr>
        <w:t xml:space="preserve">предоставления в 2025 году субсидий субъектам деятельности </w:t>
      </w:r>
    </w:p>
    <w:p w14:paraId="40000000">
      <w:pPr>
        <w:widowControl w:val="0"/>
        <w:tabs>
          <w:tab w:leader="none" w:pos="0" w:val="left"/>
        </w:tabs>
        <w:ind/>
        <w:jc w:val="center"/>
        <w:rPr>
          <w:b w:val="1"/>
          <w:color w:themeColor="text1" w:val="000000"/>
        </w:rPr>
      </w:pPr>
      <w:r>
        <w:rPr>
          <w:b w:val="1"/>
          <w:color w:themeColor="text1" w:val="000000"/>
        </w:rPr>
        <w:t xml:space="preserve">в сфере промышленности в Санкт-Петербурге в целях возмещения </w:t>
      </w:r>
    </w:p>
    <w:p w14:paraId="41000000">
      <w:pPr>
        <w:widowControl w:val="0"/>
        <w:tabs>
          <w:tab w:leader="none" w:pos="0" w:val="left"/>
        </w:tabs>
        <w:ind/>
        <w:jc w:val="center"/>
        <w:rPr>
          <w:b w:val="1"/>
          <w:color w:themeColor="text1" w:val="000000"/>
        </w:rPr>
      </w:pPr>
      <w:r>
        <w:rPr>
          <w:b w:val="1"/>
          <w:color w:themeColor="text1" w:val="000000"/>
        </w:rPr>
        <w:t xml:space="preserve">части затрат организаций, связанных с осуществлением найма </w:t>
      </w:r>
    </w:p>
    <w:p w14:paraId="42000000">
      <w:pPr>
        <w:widowControl w:val="0"/>
        <w:tabs>
          <w:tab w:leader="none" w:pos="0" w:val="left"/>
        </w:tabs>
        <w:ind/>
        <w:jc w:val="center"/>
        <w:rPr>
          <w:b w:val="1"/>
          <w:color w:themeColor="text1" w:val="000000"/>
        </w:rPr>
      </w:pPr>
      <w:r>
        <w:rPr>
          <w:b w:val="1"/>
          <w:color w:themeColor="text1" w:val="000000"/>
        </w:rPr>
        <w:t>жилья сотрудникам из других регионов</w:t>
      </w:r>
    </w:p>
    <w:p w14:paraId="43000000">
      <w:pPr>
        <w:widowControl w:val="0"/>
        <w:tabs>
          <w:tab w:leader="none" w:pos="0" w:val="left"/>
        </w:tabs>
        <w:ind/>
        <w:jc w:val="center"/>
        <w:rPr>
          <w:b w:val="1"/>
          <w:color w:themeColor="text1" w:val="000000"/>
        </w:rPr>
      </w:pPr>
    </w:p>
    <w:p w14:paraId="44000000">
      <w:pPr>
        <w:pStyle w:val="Style_8"/>
        <w:widowControl w:val="0"/>
        <w:numPr>
          <w:ilvl w:val="0"/>
          <w:numId w:val="2"/>
        </w:numPr>
        <w:spacing w:after="120" w:before="120"/>
        <w:ind w:firstLine="0" w:left="0"/>
        <w:jc w:val="center"/>
        <w:rPr>
          <w:b w:val="1"/>
          <w:color w:themeColor="text1" w:val="000000"/>
        </w:rPr>
      </w:pPr>
      <w:r>
        <w:rPr>
          <w:b w:val="1"/>
          <w:color w:themeColor="text1" w:val="000000"/>
        </w:rPr>
        <w:t>Общие положения</w:t>
      </w:r>
    </w:p>
    <w:p w14:paraId="45000000">
      <w:pPr>
        <w:pStyle w:val="Style_8"/>
        <w:widowControl w:val="0"/>
        <w:ind w:left="714"/>
        <w:rPr>
          <w:b w:val="1"/>
          <w:color w:themeColor="text1" w:val="000000"/>
        </w:rPr>
      </w:pPr>
    </w:p>
    <w:p w14:paraId="46000000">
      <w:pPr>
        <w:pStyle w:val="Style_9"/>
        <w:widowControl w:val="1"/>
        <w:numPr>
          <w:ilvl w:val="1"/>
          <w:numId w:val="3"/>
        </w:numPr>
        <w:tabs>
          <w:tab w:leader="none" w:pos="709" w:val="left"/>
          <w:tab w:leader="none" w:pos="851" w:val="left"/>
          <w:tab w:leader="none" w:pos="1134" w:val="left"/>
        </w:tabs>
        <w:ind w:firstLine="567" w:left="0"/>
        <w:jc w:val="both"/>
      </w:pPr>
      <w:r>
        <w:rPr>
          <w:color w:themeColor="text1" w:val="000000"/>
        </w:rPr>
        <w:t xml:space="preserve">Настоящий Порядок устанавливает правила предоставления в 2025 году субсидий, предусмотренных Комитету по промышленной политике, инновациям и торговле </w:t>
      </w:r>
      <w:r>
        <w:rPr>
          <w:color w:themeColor="text1" w:val="000000"/>
        </w:rPr>
        <w:br/>
      </w:r>
      <w:r>
        <w:rPr>
          <w:color w:themeColor="text1" w:val="000000"/>
        </w:rPr>
        <w:t xml:space="preserve">Санкт-Петербурга (далее – Комитет) статьей расходов бюджета Санкт-Петербурга «Субсидии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из других регионов» (код целевой статьи 1250065380) в приложении 2 </w:t>
      </w:r>
      <w:r>
        <w:rPr>
          <w:color w:themeColor="text1" w:val="000000"/>
        </w:rPr>
        <w:br/>
      </w:r>
      <w:r>
        <w:rPr>
          <w:color w:themeColor="text1" w:val="000000"/>
        </w:rPr>
        <w:t xml:space="preserve">к </w:t>
      </w:r>
      <w:r>
        <w:t xml:space="preserve">Закону Санкт-Петербурга от 27.11.2024 № 730-165 «О бюджете </w:t>
      </w:r>
      <w:r>
        <w:br/>
      </w:r>
      <w:r>
        <w:t xml:space="preserve">Санкт-Петербурга на 2025 год и на плановый период 2026 и 2027 годов» </w:t>
      </w:r>
      <w:r>
        <w:br/>
      </w:r>
      <w:r>
        <w:t xml:space="preserve">(далее – Закон о бюджете) в соответствии с пунктом 1.9 государственной программы </w:t>
      </w:r>
      <w:r>
        <w:br/>
      </w:r>
      <w:r>
        <w:t xml:space="preserve">Санкт-Петербурга «Развитие промышленности, инновационной деятельности </w:t>
      </w:r>
      <w:r>
        <w:br/>
      </w:r>
      <w:r>
        <w:t>и агропромышленного комплекса в Санкт-Петербурге», утвержденной постановлением Правительства Санкт-Петербурга от 23.06.2014 № 495 (далее соответственно – субсидии, Государственная программа).</w:t>
      </w:r>
    </w:p>
    <w:p w14:paraId="47000000">
      <w:pPr>
        <w:pStyle w:val="Style_9"/>
        <w:widowControl w:val="1"/>
        <w:tabs>
          <w:tab w:leader="none" w:pos="709" w:val="left"/>
          <w:tab w:leader="none" w:pos="851" w:val="left"/>
          <w:tab w:leader="none" w:pos="1134" w:val="left"/>
        </w:tabs>
        <w:ind w:firstLine="567"/>
        <w:jc w:val="both"/>
      </w:pPr>
      <w:r>
        <w:t xml:space="preserve">Сведения о субсидиях размещаются на едином портале бюджетной системы Российской Федерации в информационно-телекоммуникационной сети «Интернет» </w:t>
      </w:r>
      <w:r>
        <w:br/>
      </w:r>
      <w:r>
        <w:t xml:space="preserve">(далее – единый портал, сеть «Интернет») в порядке, установленном </w:t>
      </w:r>
      <w:r>
        <w:br/>
      </w:r>
      <w:r>
        <w:t>Министерством финансов Российской Федерации.</w:t>
      </w:r>
    </w:p>
    <w:p w14:paraId="48000000">
      <w:pPr>
        <w:pStyle w:val="Style_9"/>
        <w:widowControl w:val="1"/>
        <w:numPr>
          <w:ilvl w:val="1"/>
          <w:numId w:val="3"/>
        </w:numPr>
        <w:tabs>
          <w:tab w:leader="none" w:pos="709" w:val="left"/>
          <w:tab w:leader="none" w:pos="851" w:val="left"/>
          <w:tab w:leader="none" w:pos="1134" w:val="left"/>
        </w:tabs>
        <w:ind w:firstLine="567" w:left="0"/>
        <w:jc w:val="both"/>
        <w:rPr>
          <w:color w:themeColor="text1" w:val="000000"/>
        </w:rPr>
      </w:pPr>
      <w:r>
        <w:rPr>
          <w:color w:themeColor="text1" w:val="000000"/>
        </w:rPr>
        <w:t>Для целей настоящего Порядка используемые в нем понятия (термины), включая их сокращения, применяются в следующих значениях:</w:t>
      </w:r>
    </w:p>
    <w:p w14:paraId="49000000">
      <w:pPr>
        <w:widowControl w:val="1"/>
        <w:tabs>
          <w:tab w:leader="none" w:pos="1134" w:val="left"/>
        </w:tabs>
        <w:ind w:firstLine="567"/>
        <w:jc w:val="both"/>
      </w:pPr>
      <w:r>
        <w:t>субъекты деятельности в сфере промышленности в Санкт-Петербурге – юридические лица (за исключением государственных (муниципальных) учреждений)</w:t>
      </w:r>
      <w:r>
        <w:rPr>
          <w:rFonts w:ascii="Calibri" w:hAnsi="Calibri"/>
          <w:sz w:val="22"/>
        </w:rPr>
        <w:t xml:space="preserve"> </w:t>
      </w:r>
      <w:r>
        <w:t xml:space="preserve">– производители товаров, работ, услуг, осуществляющие деятельность в сфере промышленности </w:t>
      </w:r>
      <w:r>
        <w:br/>
      </w:r>
      <w:r>
        <w:t xml:space="preserve">в Санкт-Петербурге по видам экономической деятельности раздела С «Обрабатывающие производства» Общероссийского классификатора видов экономической деятельности </w:t>
      </w:r>
      <w:r>
        <w:br/>
      </w:r>
      <w:r>
        <w:t xml:space="preserve">(далее – ОКВЭД) ОК 029-2014 (КДЕС Ред.2), зарегистрированные на территории </w:t>
      </w:r>
      <w:r>
        <w:br/>
      </w:r>
      <w:r>
        <w:t>Санкт-Петербурга (далее – субъекты ДСП);</w:t>
      </w:r>
    </w:p>
    <w:p w14:paraId="4A000000">
      <w:pPr>
        <w:widowControl w:val="1"/>
        <w:tabs>
          <w:tab w:leader="none" w:pos="1134" w:val="left"/>
        </w:tabs>
        <w:ind w:firstLine="567"/>
        <w:jc w:val="both"/>
        <w:rPr>
          <w:color w:themeColor="text1" w:val="000000"/>
        </w:rPr>
      </w:pPr>
      <w:r>
        <w:rPr>
          <w:color w:themeColor="text1" w:val="000000"/>
        </w:rPr>
        <w:t xml:space="preserve">работники – физические лица, состоящие в трудовых отношениях с субъектами ДСП </w:t>
      </w:r>
      <w:r>
        <w:rPr>
          <w:color w:themeColor="text1" w:val="000000"/>
        </w:rPr>
        <w:br/>
      </w:r>
      <w:r>
        <w:rPr>
          <w:color w:themeColor="text1" w:val="000000"/>
        </w:rPr>
        <w:t>в соответствии с трудовым законодательством;</w:t>
      </w:r>
    </w:p>
    <w:p w14:paraId="4B000000">
      <w:pPr>
        <w:widowControl w:val="1"/>
        <w:tabs>
          <w:tab w:leader="none" w:pos="1134" w:val="left"/>
        </w:tabs>
        <w:ind w:firstLine="567"/>
        <w:jc w:val="both"/>
        <w:rPr>
          <w:i w:val="1"/>
          <w:color w:themeColor="text1" w:val="000000"/>
        </w:rPr>
      </w:pPr>
      <w:r>
        <w:rPr>
          <w:color w:themeColor="text1" w:val="000000"/>
        </w:rPr>
        <w:t xml:space="preserve">сотрудники из других регионов – работники, имеющие согласно статье 6 Закона Российской Федерации от 25.06.1993 № 5242-1 «О праве граждан Российской Федерации </w:t>
      </w:r>
      <w:r>
        <w:rPr>
          <w:color w:themeColor="text1" w:val="000000"/>
        </w:rPr>
        <w:br/>
      </w:r>
      <w:r>
        <w:rPr>
          <w:color w:themeColor="text1" w:val="000000"/>
        </w:rPr>
        <w:t xml:space="preserve">на свободу передвижения, выбор места пребывания и жительства в пределах </w:t>
      </w:r>
      <w:r>
        <w:rPr>
          <w:color w:themeColor="text1" w:val="000000"/>
        </w:rPr>
        <w:br/>
      </w:r>
      <w:r>
        <w:rPr>
          <w:color w:themeColor="text1" w:val="000000"/>
        </w:rPr>
        <w:t xml:space="preserve">Российской Федерации» регистрацию по месту жительства в субъектах Российской Федерации, за исключением города федерального значения Санкт-Петербург; </w:t>
      </w:r>
    </w:p>
    <w:p w14:paraId="4C000000">
      <w:pPr>
        <w:widowControl w:val="1"/>
        <w:tabs>
          <w:tab w:leader="none" w:pos="1134" w:val="left"/>
        </w:tabs>
        <w:ind w:firstLine="567"/>
        <w:jc w:val="both"/>
        <w:rPr>
          <w:color w:themeColor="text1" w:val="000000"/>
        </w:rPr>
      </w:pPr>
      <w:r>
        <w:rPr>
          <w:color w:themeColor="text1" w:val="000000"/>
        </w:rPr>
        <w:t xml:space="preserve">жилье – пригодное для постоянного проживания граждан помещение, отвечающее установленным </w:t>
      </w:r>
      <w:r>
        <w:rPr>
          <w:color w:themeColor="text1" w:val="000000"/>
        </w:rPr>
        <w:fldChar w:fldCharType="begin"/>
      </w:r>
      <w:r>
        <w:rPr>
          <w:color w:themeColor="text1" w:val="000000"/>
        </w:rPr>
        <w:instrText>HYPERLINK "https://login.consultant.ru/link/?req=doc&amp;base=RZB&amp;n=452886&amp;dst=100166"</w:instrText>
      </w:r>
      <w:r>
        <w:rPr>
          <w:color w:themeColor="text1" w:val="000000"/>
        </w:rPr>
        <w:fldChar w:fldCharType="separate"/>
      </w:r>
      <w:r>
        <w:rPr>
          <w:color w:themeColor="text1" w:val="000000"/>
        </w:rPr>
        <w:t>санитарным</w:t>
      </w:r>
      <w:r>
        <w:rPr>
          <w:color w:themeColor="text1" w:val="000000"/>
        </w:rPr>
        <w:fldChar w:fldCharType="end"/>
      </w:r>
      <w:r>
        <w:rPr>
          <w:color w:themeColor="text1" w:val="000000"/>
        </w:rPr>
        <w:t xml:space="preserve"> и техническим правилам и нормам, иным требованиям </w:t>
      </w:r>
      <w:r>
        <w:rPr>
          <w:color w:themeColor="text1" w:val="000000"/>
        </w:rPr>
        <w:br/>
      </w:r>
      <w:r>
        <w:rPr>
          <w:color w:themeColor="text1" w:val="000000"/>
        </w:rPr>
        <w:t>в соответствии с жилищным законодательством Российской Федерации (далее – жилое помещение);</w:t>
      </w:r>
      <w:r>
        <w:rPr>
          <w:i w:val="1"/>
          <w:color w:themeColor="text1" w:val="000000"/>
        </w:rPr>
        <w:t xml:space="preserve"> </w:t>
      </w:r>
    </w:p>
    <w:p w14:paraId="4D000000">
      <w:pPr>
        <w:widowControl w:val="1"/>
        <w:tabs>
          <w:tab w:leader="none" w:pos="1134" w:val="left"/>
        </w:tabs>
        <w:ind w:firstLine="567"/>
        <w:jc w:val="both"/>
        <w:rPr>
          <w:color w:themeColor="text1" w:val="000000"/>
        </w:rPr>
      </w:pPr>
      <w:r>
        <w:rPr>
          <w:color w:themeColor="text1" w:val="000000"/>
        </w:rPr>
        <w:t xml:space="preserve">наем жилья – предоставление сотрудникам из других регионов в целях проживания находящихся на территории Санкт-Петербурга жилых помещений во временное владение и(или) пользование за плату по договорам найма жилого помещения, заключенным непосредственно сотрудниками из других регионов с собственниками этих жилых помещений или </w:t>
      </w:r>
      <w:r>
        <w:rPr>
          <w:color w:themeColor="text1" w:val="000000"/>
        </w:rPr>
        <w:t>управомоченными</w:t>
      </w:r>
      <w:r>
        <w:rPr>
          <w:color w:themeColor="text1" w:val="000000"/>
        </w:rPr>
        <w:t xml:space="preserve"> ими лицами (</w:t>
      </w:r>
      <w:r>
        <w:rPr>
          <w:color w:themeColor="text1" w:val="000000"/>
        </w:rPr>
        <w:t>наймодатели</w:t>
      </w:r>
      <w:r>
        <w:rPr>
          <w:color w:themeColor="text1" w:val="000000"/>
        </w:rPr>
        <w:t xml:space="preserve">), в соответствии с пунктом 1 статьи 671 Гражданского кодекса Российской Федерации (далее – наем жилых помещений, наем), или бесплатное предоставление сотрудникам из других регионов в целях проживания находящихся на территории Санкт-Петербурга жилых помещений субъектами ДСП, находящиеся у них во временном владении и пользовании или временном пользовании </w:t>
      </w:r>
      <w:r>
        <w:rPr>
          <w:color w:themeColor="text1" w:val="000000"/>
        </w:rPr>
        <w:br/>
      </w:r>
      <w:r>
        <w:rPr>
          <w:color w:themeColor="text1" w:val="000000"/>
        </w:rPr>
        <w:t xml:space="preserve">на основании договоров аренды жилого помещения, заключенных  с собственниками этих жилых помещений или </w:t>
      </w:r>
      <w:r>
        <w:rPr>
          <w:color w:themeColor="text1" w:val="000000"/>
        </w:rPr>
        <w:t>управомоченными</w:t>
      </w:r>
      <w:r>
        <w:rPr>
          <w:color w:themeColor="text1" w:val="000000"/>
        </w:rPr>
        <w:t xml:space="preserve"> ими лицами (арендодатели) на условиях арендной платы, в соответствии с пунктом 2 статьи 671 Гражданского кодекса Российской Федерации (далее – аренда жилых помещений); </w:t>
      </w:r>
    </w:p>
    <w:p w14:paraId="4E000000">
      <w:pPr>
        <w:widowControl w:val="1"/>
        <w:tabs>
          <w:tab w:leader="none" w:pos="1134" w:val="left"/>
        </w:tabs>
        <w:ind w:firstLine="567"/>
        <w:jc w:val="both"/>
        <w:rPr>
          <w:color w:themeColor="text1" w:val="000000"/>
        </w:rPr>
      </w:pPr>
      <w:r>
        <w:rPr>
          <w:color w:themeColor="text1" w:val="000000"/>
        </w:rPr>
        <w:t>затраты – расходы субъектов ДСП, понесенные ими на возмещение расходов сотрудников из других регионов за наем жилых помещений и(или) понесенные субъектами ДСП за аренду жилых помещений;</w:t>
      </w:r>
    </w:p>
    <w:p w14:paraId="4F000000">
      <w:pPr>
        <w:widowControl w:val="1"/>
        <w:tabs>
          <w:tab w:leader="none" w:pos="1134" w:val="left"/>
        </w:tabs>
        <w:ind w:firstLine="567"/>
        <w:jc w:val="both"/>
        <w:rPr>
          <w:i w:val="1"/>
          <w:color w:themeColor="text1" w:val="000000"/>
        </w:rPr>
      </w:pPr>
      <w:r>
        <w:rPr>
          <w:color w:themeColor="text1" w:val="000000"/>
        </w:rPr>
        <w:t>компенсация – возмещение субъектами ДСП сотрудникам из других регионов затрат, понесенных ими за наем жилых помещений;</w:t>
      </w:r>
    </w:p>
    <w:p w14:paraId="50000000">
      <w:pPr>
        <w:widowControl w:val="1"/>
        <w:tabs>
          <w:tab w:leader="none" w:pos="1134" w:val="left"/>
        </w:tabs>
        <w:ind w:firstLine="567"/>
        <w:jc w:val="both"/>
      </w:pPr>
      <w:r>
        <w:t xml:space="preserve">отбор – проводимые посредством подсистемы «Площадка отбора получателей субсидий» Автоматизированной информационной системы бюджетного процесса – электронное казначейство по адресу https://edo.fincom.gov.spb.ru/subsidy-lk (далее соответственно – Площадка отбора, АИС БП-ЭК) в соответствии с общими требованиями </w:t>
      </w:r>
      <w:r>
        <w:br/>
      </w:r>
      <w: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br/>
      </w:r>
      <w:r>
        <w:t xml:space="preserve">и проведение отборов получателей указанных субсидий, в том числе грантов </w:t>
      </w:r>
      <w:r>
        <w:br/>
      </w:r>
      <w:r>
        <w:t>в форме субсидий, утвержденными постановлением Правительства Российской Федерации от 25.10.2023 № 1782 (далее – общие требования), конкурентные процедуры, урегулированные настоящим Порядком, по результатам которых из числа участников отбора определяются победители отбора в качестве получателей субсидий;</w:t>
      </w:r>
    </w:p>
    <w:p w14:paraId="51000000">
      <w:pPr>
        <w:widowControl w:val="1"/>
        <w:tabs>
          <w:tab w:leader="none" w:pos="1134" w:val="left"/>
        </w:tabs>
        <w:ind w:firstLine="567"/>
        <w:jc w:val="both"/>
      </w:pPr>
      <w:r>
        <w:t>участники отбора – субъекты ДСП, подавшие в Комитет заявки для участия в отборе (далее – заявки) и принявшие в нем участие в соответствии с настоящим Порядком;</w:t>
      </w:r>
    </w:p>
    <w:p w14:paraId="52000000">
      <w:pPr>
        <w:widowControl w:val="1"/>
        <w:tabs>
          <w:tab w:leader="none" w:pos="1134" w:val="left"/>
        </w:tabs>
        <w:ind w:firstLine="567"/>
        <w:jc w:val="both"/>
      </w:pPr>
      <w:r>
        <w:t xml:space="preserve">победители отбора – участники отбора, соответствующие условиям предоставления субсидий и требованиям к участникам отбора, в отношении которых по итогам отбора </w:t>
      </w:r>
      <w:r>
        <w:br/>
      </w:r>
      <w:r>
        <w:t>принято решение о предоставлении субсидий в соответствии с настоящим Порядком;</w:t>
      </w:r>
    </w:p>
    <w:p w14:paraId="53000000">
      <w:pPr>
        <w:widowControl w:val="1"/>
        <w:tabs>
          <w:tab w:leader="none" w:pos="1134" w:val="left"/>
        </w:tabs>
        <w:ind w:firstLine="567"/>
        <w:jc w:val="both"/>
      </w:pPr>
      <w:r>
        <w:t xml:space="preserve">получатели субсидий – победители отбора, с которыми заключены соглашения </w:t>
      </w:r>
      <w:r>
        <w:br/>
      </w:r>
      <w:r>
        <w:t>о предоставлении субсидий (далее – соглашения) в соответствии с настоящим Порядком;</w:t>
      </w:r>
    </w:p>
    <w:p w14:paraId="54000000">
      <w:pPr>
        <w:widowControl w:val="1"/>
        <w:ind w:firstLine="567"/>
        <w:jc w:val="both"/>
      </w:pPr>
      <w:r>
        <w:t>электронный образ документа – цифровая копия документа на бумажном носителе, полученная в результате его преобразованная в электронную форму путем цифрового копирования (сканирования) с сохранением аутентичной визуализации (далее – скан-образ).</w:t>
      </w:r>
    </w:p>
    <w:p w14:paraId="55000000">
      <w:pPr>
        <w:pStyle w:val="Style_9"/>
        <w:widowControl w:val="1"/>
        <w:numPr>
          <w:ilvl w:val="1"/>
          <w:numId w:val="3"/>
        </w:numPr>
        <w:tabs>
          <w:tab w:leader="none" w:pos="709" w:val="left"/>
          <w:tab w:leader="none" w:pos="851" w:val="left"/>
          <w:tab w:leader="none" w:pos="1134" w:val="left"/>
        </w:tabs>
        <w:ind w:firstLine="567" w:left="0"/>
        <w:jc w:val="both"/>
      </w:pPr>
      <w:r>
        <w:t>Способом предоставления субсидий является возмещение затрат.</w:t>
      </w:r>
    </w:p>
    <w:p w14:paraId="56000000">
      <w:pPr>
        <w:pStyle w:val="Style_9"/>
        <w:widowControl w:val="1"/>
        <w:numPr>
          <w:ilvl w:val="1"/>
          <w:numId w:val="3"/>
        </w:numPr>
        <w:tabs>
          <w:tab w:leader="none" w:pos="709" w:val="left"/>
          <w:tab w:leader="none" w:pos="851" w:val="left"/>
          <w:tab w:leader="none" w:pos="1134" w:val="left"/>
        </w:tabs>
        <w:ind w:firstLine="567" w:left="0"/>
        <w:jc w:val="both"/>
      </w:pPr>
      <w:r>
        <w:t xml:space="preserve">Субсидии предоставляются на безвозмездной и безвозвратной основе субъектам ДСП, не являющимся субъектами малого предпринимательства, находящимся в период проведения отбора в сводном реестре организаций оборонно-промышленного комплекса, ведение которого осуществляет Министерство промышленности и торговли Российской Федерации, осуществляющим виды экономической деятельности, относящиеся </w:t>
      </w:r>
      <w:r>
        <w:br/>
      </w:r>
      <w:r>
        <w:t>в соответствии с ОКВЭД ОК 029-2014 (КДЕС Ред. 2) к разделу С «Обрабатывающие производства», за исключением:</w:t>
      </w:r>
    </w:p>
    <w:p w14:paraId="57000000">
      <w:pPr>
        <w:pStyle w:val="Style_9"/>
        <w:widowControl w:val="1"/>
        <w:tabs>
          <w:tab w:leader="none" w:pos="851" w:val="left"/>
          <w:tab w:leader="none" w:pos="1134" w:val="left"/>
        </w:tabs>
        <w:ind w:firstLine="567"/>
        <w:jc w:val="both"/>
      </w:pPr>
      <w: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br/>
      </w:r>
      <w:r>
        <w:t>в бутылках»);</w:t>
      </w:r>
    </w:p>
    <w:p w14:paraId="58000000">
      <w:pPr>
        <w:pStyle w:val="Style_9"/>
        <w:widowControl w:val="1"/>
        <w:tabs>
          <w:tab w:leader="none" w:pos="851" w:val="left"/>
          <w:tab w:leader="none" w:pos="1134" w:val="left"/>
        </w:tabs>
        <w:ind w:firstLine="567"/>
        <w:jc w:val="both"/>
      </w:pPr>
      <w:r>
        <w:t>класса 12 «Производство табачных изделий»;</w:t>
      </w:r>
    </w:p>
    <w:p w14:paraId="59000000">
      <w:pPr>
        <w:pStyle w:val="Style_9"/>
        <w:widowControl w:val="1"/>
        <w:tabs>
          <w:tab w:leader="none" w:pos="851" w:val="left"/>
          <w:tab w:leader="none" w:pos="1134" w:val="left"/>
        </w:tabs>
        <w:ind w:firstLine="567"/>
        <w:jc w:val="both"/>
      </w:pPr>
      <w:r>
        <w:t>класса 18 «Деятельность полиграфическая и копирование носителей информации»;</w:t>
      </w:r>
    </w:p>
    <w:p w14:paraId="5A000000">
      <w:pPr>
        <w:pStyle w:val="Style_9"/>
        <w:widowControl w:val="1"/>
        <w:tabs>
          <w:tab w:leader="none" w:pos="851" w:val="left"/>
          <w:tab w:leader="none" w:pos="1134" w:val="left"/>
        </w:tabs>
        <w:ind w:firstLine="567"/>
        <w:jc w:val="both"/>
      </w:pPr>
      <w:r>
        <w:t>класса 19 «Производство кокса и нефтепродуктов»;</w:t>
      </w:r>
    </w:p>
    <w:p w14:paraId="5B000000">
      <w:pPr>
        <w:pStyle w:val="Style_9"/>
        <w:widowControl w:val="1"/>
        <w:tabs>
          <w:tab w:leader="none" w:pos="851" w:val="left"/>
          <w:tab w:leader="none" w:pos="1134" w:val="left"/>
        </w:tabs>
        <w:ind w:firstLine="567"/>
        <w:jc w:val="both"/>
      </w:pPr>
      <w:r>
        <w:t>подкласса 32.1 «Производство ювелирных изделий, бижутерии и подобных товаров» класса 32 «Производство прочих готовых изделий»;</w:t>
      </w:r>
    </w:p>
    <w:p w14:paraId="5C000000">
      <w:pPr>
        <w:pStyle w:val="Style_9"/>
        <w:widowControl w:val="1"/>
        <w:tabs>
          <w:tab w:leader="none" w:pos="851" w:val="left"/>
          <w:tab w:leader="none" w:pos="1134" w:val="left"/>
        </w:tabs>
        <w:ind w:firstLine="567"/>
        <w:jc w:val="both"/>
      </w:pPr>
      <w:r>
        <w:t xml:space="preserve">класса 33 «Ремонт и монтаж машин и оборудования» (далее – организации), в целях возмещения им части затрат в размере, не превышающем 33,3 процентов от общей суммы произведенных затрат (далее также – часть затрат), в рамках достижения целевых показателей Государственной программы при реализации мероприятия, предусмотренного </w:t>
      </w:r>
      <w:r>
        <w:br/>
      </w:r>
      <w:r>
        <w:t>в процессной части подраздела 2.3 Государственной программы.</w:t>
      </w:r>
    </w:p>
    <w:p w14:paraId="5D000000">
      <w:pPr>
        <w:pStyle w:val="Style_9"/>
        <w:widowControl w:val="1"/>
        <w:numPr>
          <w:ilvl w:val="1"/>
          <w:numId w:val="3"/>
        </w:numPr>
        <w:tabs>
          <w:tab w:leader="none" w:pos="709" w:val="left"/>
          <w:tab w:leader="none" w:pos="851" w:val="left"/>
          <w:tab w:leader="none" w:pos="1134" w:val="left"/>
        </w:tabs>
        <w:ind w:firstLine="567" w:left="0"/>
        <w:jc w:val="both"/>
        <w:rPr>
          <w:color w:themeColor="text1" w:val="000000"/>
        </w:rPr>
      </w:pPr>
      <w:r>
        <w:rPr>
          <w:color w:themeColor="text1" w:val="000000"/>
        </w:rPr>
        <w:t xml:space="preserve">Максимальный размер субсидии, предоставляемой одной организации, составляет 12 млн руб., при этом сумма возмещаемых затрат за одного сотрудника </w:t>
      </w:r>
      <w:r>
        <w:rPr>
          <w:color w:themeColor="text1" w:val="000000"/>
        </w:rPr>
        <w:br/>
      </w:r>
      <w:r>
        <w:rPr>
          <w:color w:themeColor="text1" w:val="000000"/>
        </w:rPr>
        <w:t>из другого региона, которому предоставлено жилье или компенсирована плата за его наем, не может превышать 10 тыс. руб. в месяц.</w:t>
      </w:r>
    </w:p>
    <w:p w14:paraId="5E000000">
      <w:pPr>
        <w:pStyle w:val="Style_9"/>
        <w:widowControl w:val="1"/>
        <w:numPr>
          <w:ilvl w:val="1"/>
          <w:numId w:val="3"/>
        </w:numPr>
        <w:tabs>
          <w:tab w:leader="none" w:pos="709" w:val="left"/>
          <w:tab w:leader="none" w:pos="851" w:val="left"/>
          <w:tab w:leader="none" w:pos="1134" w:val="left"/>
        </w:tabs>
        <w:ind w:firstLine="567" w:left="0"/>
        <w:jc w:val="both"/>
        <w:rPr>
          <w:i w:val="1"/>
          <w:color w:themeColor="text1" w:val="000000"/>
        </w:rPr>
      </w:pPr>
      <w:r>
        <w:rPr>
          <w:color w:themeColor="text1" w:val="000000"/>
        </w:rPr>
        <w:t xml:space="preserve">Возмещению за счет средств субсидий подлежат затраты организаций </w:t>
      </w:r>
      <w:r>
        <w:rPr>
          <w:color w:themeColor="text1" w:val="000000"/>
        </w:rPr>
        <w:br/>
      </w:r>
      <w:r>
        <w:rPr>
          <w:color w:themeColor="text1" w:val="000000"/>
        </w:rPr>
        <w:t xml:space="preserve">на произведенную сотрудникам из других регионов компенсацию или на оплату аренды жилых помещений </w:t>
      </w:r>
      <w:r>
        <w:rPr>
          <w:rStyle w:val="Style_10_ch"/>
          <w:color w:themeColor="text1" w:val="000000"/>
        </w:rPr>
        <w:t>за период с 01.11.2024 по 31.10.2025</w:t>
      </w:r>
      <w:r>
        <w:rPr>
          <w:color w:themeColor="text1" w:val="000000"/>
        </w:rPr>
        <w:t>.</w:t>
      </w:r>
    </w:p>
    <w:p w14:paraId="5F000000">
      <w:pPr>
        <w:pStyle w:val="Style_9"/>
        <w:widowControl w:val="1"/>
        <w:numPr>
          <w:ilvl w:val="1"/>
          <w:numId w:val="3"/>
        </w:numPr>
        <w:tabs>
          <w:tab w:leader="none" w:pos="709" w:val="left"/>
          <w:tab w:leader="none" w:pos="851" w:val="left"/>
          <w:tab w:leader="none" w:pos="1134" w:val="left"/>
        </w:tabs>
        <w:ind w:firstLine="567" w:left="0"/>
        <w:jc w:val="both"/>
        <w:rPr>
          <w:i w:val="1"/>
          <w:color w:themeColor="text1" w:val="000000"/>
        </w:rPr>
      </w:pPr>
      <w:r>
        <w:rPr>
          <w:color w:themeColor="text1" w:val="000000"/>
        </w:rPr>
        <w:t xml:space="preserve">Датой возникновения затрат является дата подписания или утверждения организацией документа, подтверждающего факт выплаты компенсации сотруднику </w:t>
      </w:r>
      <w:r>
        <w:rPr>
          <w:color w:themeColor="text1" w:val="000000"/>
        </w:rPr>
        <w:br/>
      </w:r>
      <w:r>
        <w:rPr>
          <w:color w:themeColor="text1" w:val="000000"/>
        </w:rPr>
        <w:t xml:space="preserve">из другого региона или факт оплаты аренды жилья по договору аренды жилого помещения. </w:t>
      </w:r>
    </w:p>
    <w:p w14:paraId="60000000">
      <w:pPr>
        <w:pStyle w:val="Style_9"/>
        <w:widowControl w:val="1"/>
        <w:numPr>
          <w:ilvl w:val="1"/>
          <w:numId w:val="3"/>
        </w:numPr>
        <w:tabs>
          <w:tab w:leader="none" w:pos="709" w:val="left"/>
          <w:tab w:leader="none" w:pos="851" w:val="left"/>
          <w:tab w:leader="none" w:pos="1134" w:val="left"/>
        </w:tabs>
        <w:ind w:firstLine="567" w:left="0"/>
        <w:jc w:val="both"/>
      </w:pPr>
      <w:r>
        <w:t xml:space="preserve">Субсидии предоставляются по результатам отбора, способом проведения которого является запрос предложений, направленных участниками отбора в соответствии </w:t>
      </w:r>
      <w:r>
        <w:br/>
      </w:r>
      <w:r>
        <w:t>с настоящим Порядком.</w:t>
      </w:r>
    </w:p>
    <w:p w14:paraId="61000000">
      <w:pPr>
        <w:pStyle w:val="Style_9"/>
        <w:widowControl w:val="1"/>
        <w:numPr>
          <w:ilvl w:val="1"/>
          <w:numId w:val="3"/>
        </w:numPr>
        <w:tabs>
          <w:tab w:leader="none" w:pos="709" w:val="left"/>
          <w:tab w:leader="none" w:pos="851" w:val="left"/>
          <w:tab w:leader="none" w:pos="1134" w:val="left"/>
        </w:tabs>
        <w:ind w:firstLine="567" w:left="0"/>
        <w:jc w:val="both"/>
      </w:pPr>
      <w:r>
        <w:t xml:space="preserve">Победители отбора определяются исходя из соответствия организаций </w:t>
      </w:r>
      <w:r>
        <w:br/>
      </w:r>
      <w:r>
        <w:t>как участников отбора условиям предоставления субсидий и требованиям к участникам отбора, установленным в разделе 3 настоящего Порядка (далее – критерии отбора), согласно очередности поступления от них заявок и документов до исчерпания бюджетных ассигнований на предоставление субсидий</w:t>
      </w:r>
      <w:r>
        <w:rPr>
          <w:rFonts w:ascii="Calibri" w:hAnsi="Calibri"/>
          <w:sz w:val="22"/>
        </w:rPr>
        <w:t xml:space="preserve"> </w:t>
      </w:r>
      <w:r>
        <w:t xml:space="preserve">в соответствии со сроком, установленным </w:t>
      </w:r>
      <w:r>
        <w:br/>
      </w:r>
      <w:r>
        <w:t>в объявлении о проведении отбора (далее – объявление) согласно пункту 2.2 настоящего Порядка.</w:t>
      </w:r>
    </w:p>
    <w:p w14:paraId="62000000">
      <w:pPr>
        <w:pStyle w:val="Style_9"/>
        <w:widowControl w:val="1"/>
        <w:numPr>
          <w:ilvl w:val="1"/>
          <w:numId w:val="3"/>
        </w:numPr>
        <w:tabs>
          <w:tab w:leader="none" w:pos="709" w:val="left"/>
          <w:tab w:leader="none" w:pos="851" w:val="left"/>
          <w:tab w:leader="none" w:pos="993" w:val="left"/>
          <w:tab w:leader="none" w:pos="1134" w:val="left"/>
        </w:tabs>
        <w:ind w:firstLine="567" w:left="0"/>
        <w:jc w:val="both"/>
        <w:rPr>
          <w:color w:themeColor="text1" w:val="000000"/>
        </w:rPr>
      </w:pPr>
      <w:r>
        <w:rPr>
          <w:color w:themeColor="text1" w:val="000000"/>
        </w:rPr>
        <w:t xml:space="preserve">Субсидии предоставляются в пределах средств, предусмотренных </w:t>
      </w:r>
      <w:r>
        <w:rPr>
          <w:color w:themeColor="text1" w:val="000000"/>
        </w:rPr>
        <w:br/>
      </w:r>
      <w:r>
        <w:rPr>
          <w:color w:themeColor="text1" w:val="000000"/>
        </w:rPr>
        <w:t xml:space="preserve">на их предоставление Комитету Законом о бюджете по статье расходов, указанной в пункте 1.1 настоящего Порядка. </w:t>
      </w:r>
    </w:p>
    <w:p w14:paraId="63000000">
      <w:pPr>
        <w:pStyle w:val="Style_9"/>
        <w:widowControl w:val="1"/>
        <w:tabs>
          <w:tab w:leader="none" w:pos="709" w:val="left"/>
          <w:tab w:leader="none" w:pos="851" w:val="left"/>
          <w:tab w:leader="none" w:pos="993" w:val="left"/>
        </w:tabs>
        <w:ind w:left="709"/>
        <w:jc w:val="both"/>
        <w:rPr>
          <w:color w:themeColor="text1" w:val="000000"/>
        </w:rPr>
      </w:pPr>
    </w:p>
    <w:p w14:paraId="64000000">
      <w:pPr>
        <w:pStyle w:val="Style_8"/>
        <w:widowControl w:val="1"/>
        <w:numPr>
          <w:ilvl w:val="0"/>
          <w:numId w:val="4"/>
        </w:numPr>
        <w:ind w:left="0"/>
        <w:jc w:val="center"/>
        <w:rPr>
          <w:b w:val="1"/>
          <w:color w:themeColor="text1" w:val="000000"/>
        </w:rPr>
      </w:pPr>
      <w:r>
        <w:rPr>
          <w:b w:val="1"/>
          <w:color w:themeColor="text1" w:val="000000"/>
        </w:rPr>
        <w:t>Порядок проведения отборов</w:t>
      </w:r>
    </w:p>
    <w:p w14:paraId="65000000">
      <w:pPr>
        <w:widowControl w:val="1"/>
        <w:ind w:firstLine="709"/>
        <w:jc w:val="both"/>
        <w:rPr>
          <w:color w:themeColor="text1" w:val="000000"/>
        </w:rPr>
      </w:pPr>
    </w:p>
    <w:p w14:paraId="66000000">
      <w:pPr>
        <w:pStyle w:val="Style_8"/>
        <w:widowControl w:val="1"/>
        <w:tabs>
          <w:tab w:leader="none" w:pos="1134" w:val="left"/>
        </w:tabs>
        <w:spacing w:line="20" w:lineRule="atLeast"/>
        <w:ind w:firstLine="567" w:left="0"/>
        <w:jc w:val="both"/>
      </w:pPr>
      <w:r>
        <w:rPr/>
        <w:t xml:space="preserve">2.1. </w:t>
      </w:r>
      <w:r>
        <w:t>Отбор проводится на основании рассмотрения</w:t>
      </w:r>
      <w:r>
        <w:t xml:space="preserve"> поданных организациями заявок </w:t>
      </w:r>
      <w:r>
        <w:br/>
      </w:r>
      <w:r>
        <w:t xml:space="preserve">по форме, установленной в приложении № 1 к настоящему Порядку, и прилагаемых к ним документов, подтверждающих соответствие участников </w:t>
      </w:r>
      <w:r>
        <w:t xml:space="preserve">отбора критериям отбора </w:t>
      </w:r>
      <w:r>
        <w:br/>
      </w:r>
      <w:r>
        <w:t>(далее – документы), в соответствии с Перечнем документов и требований к ним, установленных в приложении № 2 к настоящему Порядку (далее – Перечень документов)</w:t>
      </w:r>
    </w:p>
    <w:p w14:paraId="67000000">
      <w:pPr>
        <w:pStyle w:val="Style_8"/>
        <w:widowControl w:val="1"/>
        <w:tabs>
          <w:tab w:leader="none" w:pos="1134" w:val="left"/>
        </w:tabs>
        <w:spacing w:line="20" w:lineRule="atLeast"/>
        <w:ind w:firstLine="567" w:left="0"/>
        <w:jc w:val="both"/>
      </w:pPr>
      <w:r>
        <w:t xml:space="preserve">2.2. Объявление размещается на веб-странице Комитета на официальном сайте Администрации Санкт-Петербурга в сети «Интернет» по адресу https://www.gov.spb.ru/gov/otrasl/c_industrial_and_trade/, на официальном сайте Комитета </w:t>
      </w:r>
      <w:r>
        <w:br/>
      </w:r>
      <w:r>
        <w:t xml:space="preserve">в сети «Интернет» по адресу: www.cipit.gov.spb.ru (далее совместно – сайт Комитета) </w:t>
      </w:r>
      <w:r>
        <w:br/>
      </w:r>
      <w:r>
        <w:t xml:space="preserve">и на Площадке отбора в сроки, установленные нормативным правовым актом Комитета. </w:t>
      </w:r>
    </w:p>
    <w:p w14:paraId="68000000">
      <w:pPr>
        <w:pStyle w:val="Style_9"/>
        <w:widowControl w:val="1"/>
        <w:ind w:firstLine="540"/>
        <w:jc w:val="both"/>
      </w:pPr>
      <w:r>
        <w:t xml:space="preserve">Объявление должно содержать сведения, перечисленные в </w:t>
      </w:r>
      <w:r>
        <w:fldChar w:fldCharType="begin"/>
      </w:r>
      <w:r>
        <w:instrText>HYPERLINK "https://login.consultant.ru/link/?req=doc&amp;base=RZB&amp;n=461663&amp;dst=100157"</w:instrText>
      </w:r>
      <w:r>
        <w:fldChar w:fldCharType="separate"/>
      </w:r>
      <w:r>
        <w:t>пункте 21</w:t>
      </w:r>
      <w:r>
        <w:fldChar w:fldCharType="end"/>
      </w:r>
      <w:r>
        <w:t xml:space="preserve"> общих требований, определенные в соответствии с положениями настоящего Порядка </w:t>
      </w:r>
      <w:r>
        <w:br/>
      </w:r>
      <w:r>
        <w:t>и нормативного правового акта Комитета, регулирующего отдельные вопросы предоставления субсидий.</w:t>
      </w:r>
    </w:p>
    <w:p w14:paraId="69000000">
      <w:pPr>
        <w:pStyle w:val="Style_9"/>
        <w:widowControl w:val="1"/>
        <w:ind w:firstLine="540"/>
        <w:jc w:val="both"/>
      </w:pPr>
      <w:r>
        <w:t xml:space="preserve">Размещение объявления на сайте Комитета и на Площадке отбора осуществляется </w:t>
      </w:r>
      <w:r>
        <w:br/>
      </w:r>
      <w:r>
        <w:t>не ранее размещения сведений о субсидии на едином портале в соответствии с пунктом 1.1 настоящего Порядка.</w:t>
      </w:r>
    </w:p>
    <w:p w14:paraId="6A000000">
      <w:pPr>
        <w:pStyle w:val="Style_9"/>
        <w:widowControl w:val="1"/>
        <w:ind w:firstLine="540"/>
        <w:jc w:val="both"/>
      </w:pPr>
      <w:r>
        <w:t>Информация, содержащаяся в объявлении, при необходимости может быть изменена путем внесения изменений в объявление в соответствии с порядком, установленным нормативным правовым актом Комитета.</w:t>
      </w:r>
    </w:p>
    <w:p w14:paraId="6B000000">
      <w:pPr>
        <w:pStyle w:val="Style_9"/>
        <w:widowControl w:val="1"/>
        <w:ind w:firstLine="540"/>
        <w:jc w:val="both"/>
      </w:pPr>
      <w:r>
        <w:t xml:space="preserve">Информация о веб-странице Комитета на официальном сайте Администрации </w:t>
      </w:r>
      <w:r>
        <w:br/>
      </w:r>
      <w:r>
        <w:t xml:space="preserve">Санкт-Петербурга, на которой размещается объявление, объявления об отмене отбора, продлении срока проведения отбора или о проведении нового отбора, информация о ходе </w:t>
      </w:r>
      <w:r>
        <w:br/>
      </w:r>
      <w:r>
        <w:t>и результатах отбора публикуется на едином портале.</w:t>
      </w:r>
    </w:p>
    <w:p w14:paraId="6C000000">
      <w:pPr>
        <w:pStyle w:val="Style_9"/>
        <w:widowControl w:val="1"/>
        <w:ind w:firstLine="540"/>
        <w:jc w:val="both"/>
      </w:pPr>
      <w:r>
        <w:t>2.3. Датой начала приема заявок является первый рабочий день, следующий за днем размещения объявления на сайте Комитета и на Площадке отбора.</w:t>
      </w:r>
    </w:p>
    <w:p w14:paraId="6D000000">
      <w:pPr>
        <w:widowControl w:val="1"/>
        <w:ind w:firstLine="567"/>
        <w:jc w:val="both"/>
      </w:pPr>
      <w:r>
        <w:t>Дата окончания приема заявок не может быть ранее десятого календарного дня, следующего за днем размещения объявления.</w:t>
      </w:r>
    </w:p>
    <w:p w14:paraId="6E000000">
      <w:pPr>
        <w:widowControl w:val="1"/>
        <w:ind w:firstLine="567"/>
        <w:jc w:val="both"/>
      </w:pPr>
      <w:r>
        <w:t>В случае, если по окончании отбора объем бюджетных ассигнований, предусматриваемых на предоставление субсидий, не будет исчерпан, Комитет вправе принять решение о продлении срока проведения отбора до окончания срока приема заявок (путем внесения изменений в объявление) или о проведении нового отбора.</w:t>
      </w:r>
    </w:p>
    <w:p w14:paraId="6F000000">
      <w:pPr>
        <w:widowControl w:val="1"/>
        <w:ind w:firstLine="567"/>
        <w:jc w:val="both"/>
      </w:pPr>
      <w:r>
        <w:t xml:space="preserve">2.4. Для участия в отборе на Площадке отбора организацией формируется личный кабинет участника отбора (далее – личный кабинет). Для указанной цели, а также для цели дальнейшего обеспечения доступа к личному кабинету соответствующей организацией осуществляется авторизация, которая производится руководителем организации или иным лицом, действующим от имени и в интересах организации на основании доверенности </w:t>
      </w:r>
      <w:r>
        <w:br/>
      </w:r>
      <w:r>
        <w:t xml:space="preserve">или иного документа в соответствии с уставом организации и(или) законодательством Российской Федерации, подтверждающего полномочия этого лица на совершение соответствующих действий от имени и в интересах организации (далее соответственно – иное уполномоченное лицо, уполномочивающий документ), с прикреплением его личного профиля (основной базовой информации в личном кабинете федеральной государственной информационной системы «Единая система идентификации и аутентификации» на Едином портале государственных (муниципальных) услуг. </w:t>
      </w:r>
    </w:p>
    <w:p w14:paraId="70000000">
      <w:pPr>
        <w:pStyle w:val="Style_8"/>
        <w:widowControl w:val="1"/>
        <w:tabs>
          <w:tab w:leader="none" w:pos="1134" w:val="left"/>
        </w:tabs>
        <w:ind w:firstLine="567" w:left="0"/>
        <w:jc w:val="both"/>
      </w:pPr>
      <w:r>
        <w:t>С момента авторизации в личном кабинете организация, от имени которой осуществлена данная авторизация, становится участником отбора.</w:t>
      </w:r>
    </w:p>
    <w:p w14:paraId="71000000">
      <w:pPr>
        <w:pStyle w:val="Style_8"/>
        <w:widowControl w:val="1"/>
        <w:tabs>
          <w:tab w:leader="none" w:pos="1134" w:val="left"/>
        </w:tabs>
        <w:ind w:firstLine="567" w:left="0"/>
        <w:jc w:val="both"/>
      </w:pPr>
      <w:r>
        <w:t xml:space="preserve">После авторизации в личном кабинете руководителем участника отбора или иным уполномоченным лицом заполняется соответствующая экранная форма веб-интерфейса </w:t>
      </w:r>
      <w:r>
        <w:br/>
      </w:r>
      <w:r>
        <w:t xml:space="preserve">АИС БП-ЭК (далее – экранная форма) с вложением скан-образа заявки по форме, установленной в приложении № 1 к настоящему Порядку, и скан-образов документов согласно перечню документов и требованиям к ним, установленным в приложении № 2 </w:t>
      </w:r>
      <w:r>
        <w:br/>
      </w:r>
      <w:r>
        <w:t>к настоящему Порядку.</w:t>
      </w:r>
    </w:p>
    <w:p w14:paraId="72000000">
      <w:pPr>
        <w:pStyle w:val="Style_8"/>
        <w:widowControl w:val="1"/>
        <w:tabs>
          <w:tab w:leader="none" w:pos="1134" w:val="left"/>
        </w:tabs>
        <w:ind w:firstLine="567" w:left="0"/>
        <w:jc w:val="both"/>
      </w:pPr>
      <w:r>
        <w:t>Документы являются составляющей частью заявки и не могут приниматься, а также рассматриваться отдельно от заявки.</w:t>
      </w:r>
    </w:p>
    <w:p w14:paraId="73000000">
      <w:pPr>
        <w:pStyle w:val="Style_8"/>
        <w:widowControl w:val="1"/>
        <w:tabs>
          <w:tab w:leader="none" w:pos="1134" w:val="left"/>
        </w:tabs>
        <w:ind w:firstLine="567" w:left="0"/>
        <w:jc w:val="both"/>
      </w:pPr>
      <w:r>
        <w:t xml:space="preserve">Заявка и документы должны быть подписаны руководителем участника отбора </w:t>
      </w:r>
      <w:r>
        <w:br/>
      </w:r>
      <w:r>
        <w:t>или иным уполномоченным лицом.</w:t>
      </w:r>
    </w:p>
    <w:p w14:paraId="74000000">
      <w:pPr>
        <w:pStyle w:val="Style_8"/>
        <w:widowControl w:val="1"/>
        <w:tabs>
          <w:tab w:leader="none" w:pos="1134" w:val="left"/>
        </w:tabs>
        <w:ind w:firstLine="567" w:left="0"/>
        <w:jc w:val="both"/>
      </w:pPr>
      <w:r>
        <w:t>Заполненная экранная форма подлежит подписанию усиленной квалифицированной электронной подписью (далее – УКЭП) участника отбора или иного уполномоченного лица, что при наличии приложенного к ней скан-образа заявки, а также скан-образа уполномочивающего документа (если экранная форма подписана иным уполномоченным лицом) расценивается как подписание заявки в АИС БП-ЭК.</w:t>
      </w:r>
    </w:p>
    <w:p w14:paraId="75000000">
      <w:pPr>
        <w:pStyle w:val="Style_8"/>
        <w:widowControl w:val="1"/>
        <w:tabs>
          <w:tab w:leader="none" w:pos="1134" w:val="left"/>
        </w:tabs>
        <w:ind w:firstLine="567" w:left="0"/>
        <w:jc w:val="both"/>
      </w:pPr>
      <w:r>
        <w:t xml:space="preserve">Заполнение и подписание экранной формы в АИС БП-ЭК с приложением к ней скан-образов заявки и документов свидетельствует о подаче участником отбора заявки при этом поданной заявке автоматически присваивается регистрационный номер </w:t>
      </w:r>
      <w:r>
        <w:br/>
      </w:r>
      <w:r>
        <w:t>(далее – автоматическая регистрация).</w:t>
      </w:r>
    </w:p>
    <w:p w14:paraId="76000000">
      <w:pPr>
        <w:pStyle w:val="Style_8"/>
        <w:widowControl w:val="1"/>
        <w:tabs>
          <w:tab w:leader="none" w:pos="1134" w:val="left"/>
        </w:tabs>
        <w:ind w:firstLine="567" w:left="0"/>
        <w:jc w:val="both"/>
      </w:pPr>
    </w:p>
    <w:p w14:paraId="77000000">
      <w:pPr>
        <w:pStyle w:val="Style_8"/>
        <w:widowControl w:val="1"/>
        <w:tabs>
          <w:tab w:leader="none" w:pos="1134" w:val="left"/>
        </w:tabs>
        <w:ind w:firstLine="567" w:left="0"/>
        <w:jc w:val="both"/>
      </w:pPr>
    </w:p>
    <w:p w14:paraId="78000000">
      <w:pPr>
        <w:pStyle w:val="Style_8"/>
        <w:widowControl w:val="1"/>
        <w:tabs>
          <w:tab w:leader="none" w:pos="1134" w:val="left"/>
        </w:tabs>
        <w:ind w:firstLine="567" w:left="0"/>
        <w:jc w:val="both"/>
      </w:pPr>
      <w:r>
        <w:t>Датой подачи заявки является дата ее автоматической регистрации.</w:t>
      </w:r>
    </w:p>
    <w:p w14:paraId="79000000">
      <w:pPr>
        <w:pStyle w:val="Style_8"/>
        <w:widowControl w:val="1"/>
        <w:tabs>
          <w:tab w:leader="none" w:pos="1134" w:val="left"/>
        </w:tabs>
        <w:ind w:firstLine="567" w:left="0"/>
        <w:jc w:val="both"/>
      </w:pPr>
      <w:r>
        <w:t>Поданные заявки в целях организации в Комитете работы с документацией подлежат входящей регистрации в соответствии с Регламентом Комитета, утвержденным приказом Комитета (далее – Регламент Комитета).</w:t>
      </w:r>
    </w:p>
    <w:p w14:paraId="7A000000">
      <w:pPr>
        <w:pStyle w:val="Style_8"/>
        <w:widowControl w:val="1"/>
        <w:numPr>
          <w:ilvl w:val="1"/>
          <w:numId w:val="5"/>
        </w:numPr>
        <w:tabs>
          <w:tab w:leader="none" w:pos="1134" w:val="left"/>
        </w:tabs>
        <w:ind w:firstLine="567" w:left="0"/>
        <w:jc w:val="both"/>
      </w:pPr>
      <w:r>
        <w:t>Проведение отбора подлежит отмене в случае отсутствия бюджетных ассигнований на предоставление субсидий.</w:t>
      </w:r>
    </w:p>
    <w:p w14:paraId="7B000000">
      <w:pPr>
        <w:pStyle w:val="Style_8"/>
        <w:widowControl w:val="1"/>
        <w:numPr>
          <w:ilvl w:val="1"/>
          <w:numId w:val="5"/>
        </w:numPr>
        <w:tabs>
          <w:tab w:leader="none" w:pos="1134" w:val="left"/>
        </w:tabs>
        <w:ind w:firstLine="567" w:left="0"/>
        <w:jc w:val="both"/>
      </w:pPr>
      <w:r>
        <w:t xml:space="preserve">Отбор признается несостоявшимся в </w:t>
      </w:r>
      <w:r>
        <w:t>случаях</w:t>
      </w:r>
      <w:r>
        <w:t xml:space="preserve"> отсутствия участников отбора, </w:t>
      </w:r>
      <w:r>
        <w:br/>
      </w:r>
      <w:r>
        <w:t>при несоответствии всех участников отбора критериям отбора или отклонения всех заявок.</w:t>
      </w:r>
    </w:p>
    <w:p w14:paraId="7C000000">
      <w:pPr>
        <w:pStyle w:val="Style_8"/>
        <w:widowControl w:val="1"/>
        <w:numPr>
          <w:ilvl w:val="1"/>
          <w:numId w:val="5"/>
        </w:numPr>
        <w:tabs>
          <w:tab w:leader="none" w:pos="1134" w:val="left"/>
        </w:tabs>
        <w:ind w:firstLine="567" w:left="0"/>
        <w:jc w:val="both"/>
      </w:pPr>
      <w:r>
        <w:t>Объявление об отмене проведения отбора или о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 С указанной даты отбор считается отмененным или несостоявшимся.</w:t>
      </w:r>
    </w:p>
    <w:p w14:paraId="7D000000">
      <w:pPr>
        <w:pStyle w:val="Style_8"/>
        <w:widowControl w:val="1"/>
        <w:numPr>
          <w:ilvl w:val="1"/>
          <w:numId w:val="5"/>
        </w:numPr>
        <w:tabs>
          <w:tab w:leader="none" w:pos="1134" w:val="left"/>
        </w:tabs>
        <w:ind w:firstLine="567" w:left="0"/>
        <w:jc w:val="both"/>
      </w:pPr>
      <w:r>
        <w:t xml:space="preserve">Участники отбора, подавшие заявки, несут ответственность за полноту </w:t>
      </w:r>
      <w:r>
        <w:br/>
      </w:r>
      <w:r>
        <w:t xml:space="preserve">и достоверность указанных в них сведений и информации, а также за полноту </w:t>
      </w:r>
      <w:r>
        <w:br/>
      </w:r>
      <w:r>
        <w:t>и достоверность сведений и информации, содержащихся в представленных документах.</w:t>
      </w:r>
    </w:p>
    <w:p w14:paraId="7E000000">
      <w:pPr>
        <w:pStyle w:val="Style_8"/>
        <w:widowControl w:val="1"/>
        <w:numPr>
          <w:ilvl w:val="1"/>
          <w:numId w:val="5"/>
        </w:numPr>
        <w:tabs>
          <w:tab w:leader="none" w:pos="1134" w:val="left"/>
        </w:tabs>
        <w:ind w:firstLine="567" w:left="0"/>
        <w:jc w:val="both"/>
      </w:pPr>
      <w:r>
        <w:t xml:space="preserve">После автоматической регистрации заявки дополнительные документы </w:t>
      </w:r>
      <w:r>
        <w:br/>
      </w:r>
      <w:r>
        <w:t>от участников отбора не принимаются.</w:t>
      </w:r>
    </w:p>
    <w:p w14:paraId="7F000000">
      <w:pPr>
        <w:pStyle w:val="Style_8"/>
        <w:widowControl w:val="1"/>
        <w:numPr>
          <w:ilvl w:val="1"/>
          <w:numId w:val="5"/>
        </w:numPr>
        <w:tabs>
          <w:tab w:leader="none" w:pos="1134" w:val="left"/>
        </w:tabs>
        <w:ind w:firstLine="567" w:left="0"/>
        <w:jc w:val="both"/>
      </w:pPr>
      <w:r>
        <w:t xml:space="preserve">Участник отбора до даты принятия Комитетом в отношении него решения </w:t>
      </w:r>
      <w:r>
        <w:br/>
      </w:r>
      <w:r>
        <w:t xml:space="preserve">о предоставлении субсидии (об отказе в предоставлении субсидии) вправе отозвать поданную им заявку через Площадку отбора. Отзыв документов отдельно от заявки </w:t>
      </w:r>
      <w:r>
        <w:br/>
      </w:r>
      <w:r>
        <w:t>не допускается.</w:t>
      </w:r>
    </w:p>
    <w:p w14:paraId="80000000">
      <w:pPr>
        <w:pStyle w:val="Style_8"/>
        <w:widowControl w:val="1"/>
        <w:tabs>
          <w:tab w:leader="none" w:pos="1134" w:val="left"/>
        </w:tabs>
        <w:ind w:firstLine="567" w:left="0"/>
        <w:jc w:val="both"/>
      </w:pPr>
      <w:r>
        <w:t>Отозванная участником отбора заявка может быть подана им повторно до окончания срока подачи заявок, указанного в объявлении.</w:t>
      </w:r>
    </w:p>
    <w:p w14:paraId="81000000">
      <w:pPr>
        <w:pStyle w:val="Style_8"/>
        <w:widowControl w:val="1"/>
        <w:tabs>
          <w:tab w:leader="none" w:pos="1134" w:val="left"/>
        </w:tabs>
        <w:ind w:firstLine="567" w:left="0"/>
        <w:jc w:val="both"/>
      </w:pPr>
      <w:r>
        <w:t>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w:t>
      </w:r>
    </w:p>
    <w:p w14:paraId="82000000">
      <w:pPr>
        <w:pStyle w:val="Style_8"/>
        <w:widowControl w:val="1"/>
        <w:numPr>
          <w:ilvl w:val="1"/>
          <w:numId w:val="5"/>
        </w:numPr>
        <w:tabs>
          <w:tab w:leader="none" w:pos="1134" w:val="left"/>
        </w:tabs>
        <w:ind w:firstLine="567" w:left="0"/>
        <w:jc w:val="both"/>
      </w:pPr>
      <w:r>
        <w:t>Внесение изменений в заявку и(или) документы либо изъятие документов (дополнение новыми документами) возможны только посредством процедуры отзыва заявки с последующим правом ее повторной подачи по правилам, определенным в пункте 2.10 настоящего Порядка.</w:t>
      </w:r>
    </w:p>
    <w:p w14:paraId="83000000">
      <w:pPr>
        <w:pStyle w:val="Style_8"/>
        <w:widowControl w:val="1"/>
        <w:numPr>
          <w:ilvl w:val="1"/>
          <w:numId w:val="5"/>
        </w:numPr>
        <w:tabs>
          <w:tab w:leader="none" w:pos="1134" w:val="left"/>
        </w:tabs>
        <w:ind w:firstLine="567" w:left="0"/>
        <w:jc w:val="both"/>
      </w:pPr>
      <w:r>
        <w:t>Участник отбора не позднее чем за семь дней до даты окончания срока подачи заявок вправе направить в Комитет в форме электронного документа, подписанного руководителем участника отбора или иным уполномоченным лицом, на адрес электронной почты Комитета, указанный в объявлении, запрос о даче разъяснений положений, содержащихся в объявлении (далее – запрос о даче разъяснений).</w:t>
      </w:r>
    </w:p>
    <w:p w14:paraId="84000000">
      <w:pPr>
        <w:pStyle w:val="Style_8"/>
        <w:widowControl w:val="1"/>
        <w:numPr>
          <w:ilvl w:val="1"/>
          <w:numId w:val="5"/>
        </w:numPr>
        <w:tabs>
          <w:tab w:leader="none" w:pos="1134" w:val="left"/>
        </w:tabs>
        <w:ind w:firstLine="567" w:left="0"/>
        <w:jc w:val="both"/>
      </w:pPr>
      <w:r>
        <w:t xml:space="preserve">Комитет в течение четырех рабочих дней с даты поступления запроса о даче разъяснений обязан направить участнику отбора разъяснения положений, содержащихся </w:t>
      </w:r>
      <w:r>
        <w:br/>
      </w:r>
      <w:r>
        <w:t xml:space="preserve">в объявлении, посредством электронной почты на адрес, указанной в заявке. </w:t>
      </w:r>
      <w:r>
        <w:br/>
      </w:r>
      <w:r>
        <w:t>На запрос, поступивший в Комитет позднее чем за семь рабочих дней до даты окончания срока подачи заявок, разъяснения не даются.</w:t>
      </w:r>
    </w:p>
    <w:p w14:paraId="85000000">
      <w:pPr>
        <w:pStyle w:val="Style_8"/>
        <w:widowControl w:val="1"/>
        <w:numPr>
          <w:ilvl w:val="1"/>
          <w:numId w:val="5"/>
        </w:numPr>
        <w:tabs>
          <w:tab w:leader="none" w:pos="1134" w:val="left"/>
        </w:tabs>
        <w:ind w:firstLine="567" w:left="0"/>
        <w:jc w:val="both"/>
      </w:pPr>
      <w:r>
        <w:t>Открытие Комитету доступа на Площадке отбора к заявкам для их рассмотрения осуществляется автоматически с момента автоматической регистрации заявок.</w:t>
      </w:r>
    </w:p>
    <w:p w14:paraId="86000000">
      <w:pPr>
        <w:pStyle w:val="Style_8"/>
        <w:widowControl w:val="0"/>
        <w:numPr>
          <w:ilvl w:val="1"/>
          <w:numId w:val="5"/>
        </w:numPr>
        <w:tabs>
          <w:tab w:leader="none" w:pos="993" w:val="left"/>
          <w:tab w:leader="none" w:pos="1134" w:val="left"/>
        </w:tabs>
        <w:ind w:firstLine="567" w:left="0"/>
        <w:jc w:val="both"/>
      </w:pPr>
      <w:r>
        <w:t xml:space="preserve">Рассмотрение заявок и документов осуществляется отделом развития промышленных предприятий и оборонно-промышленного комплекса Управления развития промышленности и агропромышленного комплекса Комитета (далее – Отдел) в срок, </w:t>
      </w:r>
      <w:r>
        <w:br/>
      </w:r>
      <w:r>
        <w:t>не превышающий 20 рабочих дней с даты автоматической регистрации заявки.</w:t>
      </w:r>
    </w:p>
    <w:p w14:paraId="87000000">
      <w:pPr>
        <w:pStyle w:val="Style_8"/>
        <w:widowControl w:val="0"/>
        <w:numPr>
          <w:ilvl w:val="1"/>
          <w:numId w:val="5"/>
        </w:numPr>
        <w:tabs>
          <w:tab w:leader="none" w:pos="993" w:val="left"/>
          <w:tab w:leader="none" w:pos="1134" w:val="left"/>
        </w:tabs>
        <w:ind w:firstLine="567" w:left="0"/>
        <w:jc w:val="both"/>
      </w:pPr>
      <w:r>
        <w:t>Отдел в рамках рассмотрения заявок и документов проверяет и оценивает:</w:t>
      </w:r>
    </w:p>
    <w:p w14:paraId="88000000">
      <w:pPr>
        <w:pStyle w:val="Style_8"/>
        <w:widowControl w:val="0"/>
        <w:tabs>
          <w:tab w:leader="none" w:pos="1134" w:val="left"/>
          <w:tab w:leader="none" w:pos="1418" w:val="left"/>
          <w:tab w:leader="none" w:pos="1560" w:val="left"/>
        </w:tabs>
        <w:ind w:firstLine="567" w:left="0"/>
        <w:jc w:val="both"/>
      </w:pPr>
      <w:r>
        <w:t xml:space="preserve">заявку на предмет соответствия форме, установленной в приложении № 1 </w:t>
      </w:r>
      <w:r>
        <w:br/>
      </w:r>
      <w:r>
        <w:t>к настоящему Порядку, полноты и корректности ее заполнения;</w:t>
      </w:r>
    </w:p>
    <w:p w14:paraId="89000000">
      <w:pPr>
        <w:pStyle w:val="Style_8"/>
        <w:widowControl w:val="0"/>
        <w:tabs>
          <w:tab w:leader="none" w:pos="1134" w:val="left"/>
          <w:tab w:leader="none" w:pos="1418" w:val="left"/>
          <w:tab w:leader="none" w:pos="1560" w:val="left"/>
        </w:tabs>
        <w:ind w:firstLine="567" w:left="0"/>
        <w:jc w:val="both"/>
      </w:pPr>
      <w:r>
        <w:t>документы на предмет их соответствия перечню документов и требованиям к ним, установленным в приложении № 2 к настоящему Порядку;</w:t>
      </w:r>
    </w:p>
    <w:p w14:paraId="8A000000">
      <w:pPr>
        <w:pStyle w:val="Style_8"/>
        <w:widowControl w:val="0"/>
        <w:tabs>
          <w:tab w:leader="none" w:pos="1134" w:val="left"/>
          <w:tab w:leader="none" w:pos="1418" w:val="left"/>
          <w:tab w:leader="none" w:pos="1560" w:val="left"/>
        </w:tabs>
        <w:ind w:firstLine="567" w:left="0"/>
        <w:jc w:val="both"/>
      </w:pPr>
      <w:r>
        <w:t>участника отбора на предмет соответствия критериям отбора, в том числе запрашивает в порядке межведомственного информационного взаимодействия информацию в целях подтверждения соответствия участников отбора требованиям, установленным в пунктах 3.1.2 и 3.1.3 настоящего Порядка;</w:t>
      </w:r>
    </w:p>
    <w:p w14:paraId="8B000000">
      <w:pPr>
        <w:pStyle w:val="Style_8"/>
        <w:widowControl w:val="0"/>
        <w:tabs>
          <w:tab w:leader="none" w:pos="1134" w:val="left"/>
          <w:tab w:leader="none" w:pos="1418" w:val="left"/>
          <w:tab w:leader="none" w:pos="1560" w:val="left"/>
        </w:tabs>
        <w:ind w:firstLine="567" w:left="0"/>
        <w:jc w:val="both"/>
      </w:pPr>
      <w:r>
        <w:t xml:space="preserve">достоверность сведений и информации, содержащихся в заявке и документах, путем </w:t>
      </w:r>
      <w:r>
        <w:br/>
      </w:r>
      <w:r>
        <w:t>их сопоставления между собой, с информацией, полученной из открытых источников, способами, не запрещенными действующим законодательством;</w:t>
      </w:r>
    </w:p>
    <w:p w14:paraId="8C000000">
      <w:pPr>
        <w:pStyle w:val="Style_8"/>
        <w:widowControl w:val="0"/>
        <w:tabs>
          <w:tab w:leader="none" w:pos="1134" w:val="left"/>
          <w:tab w:leader="none" w:pos="1418" w:val="left"/>
          <w:tab w:leader="none" w:pos="1560" w:val="left"/>
        </w:tabs>
        <w:ind w:firstLine="567" w:left="0"/>
        <w:jc w:val="both"/>
      </w:pPr>
      <w:r>
        <w:t xml:space="preserve">расчет размера субсидий на предмет соответствия форме, установленной </w:t>
      </w:r>
      <w:r>
        <w:br/>
      </w:r>
      <w:r>
        <w:t>в приложении № 2 настоящему Порядку, а также правильность и обоснованность произведенного расчета.</w:t>
      </w:r>
    </w:p>
    <w:p w14:paraId="8D000000">
      <w:pPr>
        <w:pStyle w:val="Style_8"/>
        <w:widowControl w:val="0"/>
        <w:numPr>
          <w:ilvl w:val="1"/>
          <w:numId w:val="5"/>
        </w:numPr>
        <w:tabs>
          <w:tab w:leader="none" w:pos="1134" w:val="left"/>
        </w:tabs>
        <w:ind w:firstLine="567" w:left="0"/>
        <w:jc w:val="both"/>
      </w:pPr>
      <w:r>
        <w:t xml:space="preserve">По результатам рассмотрения заявок и документов в отношении каждого участника отбора Отдел обеспечивает подготовку заключения, содержащего выводы </w:t>
      </w:r>
      <w:r>
        <w:br/>
      </w:r>
      <w:r>
        <w:t xml:space="preserve">о наличии оснований для предоставления субсидии (далее – положительное заключение) </w:t>
      </w:r>
      <w:r>
        <w:br/>
      </w:r>
      <w:r>
        <w:t>или об отсутствии таких оснований (далее – отрицательное заключение).</w:t>
      </w:r>
    </w:p>
    <w:p w14:paraId="8E000000">
      <w:pPr>
        <w:pStyle w:val="Style_8"/>
        <w:widowControl w:val="0"/>
        <w:numPr>
          <w:ilvl w:val="1"/>
          <w:numId w:val="5"/>
        </w:numPr>
        <w:tabs>
          <w:tab w:leader="none" w:pos="993" w:val="left"/>
          <w:tab w:leader="none" w:pos="1134" w:val="left"/>
        </w:tabs>
        <w:ind w:firstLine="567" w:left="0"/>
        <w:jc w:val="both"/>
      </w:pPr>
      <w:r>
        <w:t>Основаниями для принятия решения об отклонении заявки и подготовки отрицательного заключения являются:</w:t>
      </w:r>
    </w:p>
    <w:p w14:paraId="8F000000">
      <w:pPr>
        <w:pStyle w:val="Style_8"/>
        <w:widowControl w:val="0"/>
        <w:tabs>
          <w:tab w:leader="none" w:pos="993" w:val="left"/>
          <w:tab w:leader="none" w:pos="1134" w:val="left"/>
        </w:tabs>
        <w:ind w:firstLine="567" w:left="0"/>
        <w:jc w:val="both"/>
      </w:pPr>
      <w:r>
        <w:t xml:space="preserve">несоответствие представленной участником отбора заявки установленной форме </w:t>
      </w:r>
      <w:r>
        <w:br/>
      </w:r>
      <w:r>
        <w:t xml:space="preserve">(в том числе, если для заполнения заявки на предоставление субсидий в личном кабинете </w:t>
      </w:r>
      <w:r>
        <w:br/>
      </w:r>
      <w:r>
        <w:t xml:space="preserve">на Площадке отбора выбрана другая форма заявки, либо осуществлено неполное </w:t>
      </w:r>
      <w:r>
        <w:br/>
      </w:r>
      <w:r>
        <w:t>и (или) некорректное заполнение формы заявки;</w:t>
      </w:r>
    </w:p>
    <w:p w14:paraId="90000000">
      <w:pPr>
        <w:pStyle w:val="Style_8"/>
        <w:widowControl w:val="0"/>
        <w:tabs>
          <w:tab w:leader="none" w:pos="993" w:val="left"/>
          <w:tab w:leader="none" w:pos="1134" w:val="left"/>
        </w:tabs>
        <w:ind w:firstLine="567" w:left="0"/>
        <w:jc w:val="both"/>
      </w:pPr>
      <w:r>
        <w:t xml:space="preserve">несоответствие представленных участником отбора документов условиям </w:t>
      </w:r>
      <w:r>
        <w:br/>
      </w:r>
      <w:r>
        <w:t xml:space="preserve">и требованиям, установленным в Порядке, или непредставление (представление </w:t>
      </w:r>
      <w:r>
        <w:br/>
      </w:r>
      <w:r>
        <w:t>не в полном объеме) документов, в том числе невозможность визуального распознавания содержания документов, включая их реквизиты;</w:t>
      </w:r>
    </w:p>
    <w:p w14:paraId="91000000">
      <w:pPr>
        <w:pStyle w:val="Style_8"/>
        <w:widowControl w:val="0"/>
        <w:tabs>
          <w:tab w:leader="none" w:pos="993" w:val="left"/>
          <w:tab w:leader="none" w:pos="1134" w:val="left"/>
        </w:tabs>
        <w:ind w:firstLine="567" w:left="0"/>
        <w:jc w:val="both"/>
        <w:rPr>
          <w:strike w:val="1"/>
        </w:rPr>
      </w:pPr>
      <w:r>
        <w:t>несоответствие участника отбора критериям отбора;</w:t>
      </w:r>
      <w:r>
        <w:rPr>
          <w:strike w:val="1"/>
        </w:rPr>
        <w:t xml:space="preserve"> </w:t>
      </w:r>
    </w:p>
    <w:p w14:paraId="92000000">
      <w:pPr>
        <w:pStyle w:val="Style_8"/>
        <w:widowControl w:val="0"/>
        <w:tabs>
          <w:tab w:leader="none" w:pos="993" w:val="left"/>
          <w:tab w:leader="none" w:pos="1134" w:val="left"/>
        </w:tabs>
        <w:ind w:firstLine="567" w:left="0"/>
        <w:jc w:val="both"/>
      </w:pPr>
      <w:r>
        <w:t>недостоверность информации, содержащейся в документах, в том числе о месте осуществления хозяйственной деятельности в соответствии со своим уставом участника отбора;</w:t>
      </w:r>
    </w:p>
    <w:p w14:paraId="93000000">
      <w:pPr>
        <w:pStyle w:val="Style_8"/>
        <w:widowControl w:val="0"/>
        <w:tabs>
          <w:tab w:leader="none" w:pos="993" w:val="left"/>
          <w:tab w:leader="none" w:pos="1134" w:val="left"/>
        </w:tabs>
        <w:ind w:firstLine="567" w:left="0"/>
        <w:jc w:val="both"/>
      </w:pPr>
      <w:r>
        <w:t>подача участником отбора заявки и документов после даты или времени, определенных для их подачи;</w:t>
      </w:r>
    </w:p>
    <w:p w14:paraId="94000000">
      <w:pPr>
        <w:pStyle w:val="Style_8"/>
        <w:widowControl w:val="0"/>
        <w:tabs>
          <w:tab w:leader="none" w:pos="993" w:val="left"/>
          <w:tab w:leader="none" w:pos="1134" w:val="left"/>
        </w:tabs>
        <w:ind w:firstLine="567" w:left="0"/>
        <w:jc w:val="both"/>
      </w:pPr>
      <w:r>
        <w:t>отсутствие бюджетных ассигнований на предоставление субсидий на дату рассмотрения заявки и документов.</w:t>
      </w:r>
    </w:p>
    <w:p w14:paraId="95000000">
      <w:pPr>
        <w:widowControl w:val="1"/>
        <w:ind w:firstLine="567"/>
        <w:jc w:val="both"/>
      </w:pPr>
      <w:r>
        <w:t>Решение Комитета об отказе в предоставлении субсидии принимается</w:t>
      </w:r>
      <w:r>
        <w:br/>
      </w:r>
      <w:r>
        <w:t>на основании отрицательного заключения в течение 5 рабочих дней с даты подписания заключения. Данное решение оформляется письмом Комитета с указанием причин отказа, которое направляется участнику отбора Комитетом по адресу электронной почты, указанному в заявке, в течение трех рабочих дней со дня принятия Комитетом данного решения с указанием причин отказа.</w:t>
      </w:r>
    </w:p>
    <w:p w14:paraId="96000000">
      <w:pPr>
        <w:pStyle w:val="Style_8"/>
        <w:widowControl w:val="0"/>
        <w:numPr>
          <w:ilvl w:val="1"/>
          <w:numId w:val="5"/>
        </w:numPr>
        <w:tabs>
          <w:tab w:leader="none" w:pos="993" w:val="left"/>
          <w:tab w:leader="none" w:pos="1134" w:val="left"/>
        </w:tabs>
        <w:ind w:firstLine="567" w:left="0"/>
        <w:jc w:val="both"/>
      </w:pPr>
      <w:r>
        <w:t xml:space="preserve">Основанием для подготовки положительного заключения является отсутствие оснований для отклонения заявки и подготовки отрицательного заключения, указанных </w:t>
      </w:r>
      <w:r>
        <w:br/>
      </w:r>
      <w:r>
        <w:t>в пункте 2.18 настоящего Порядка.</w:t>
      </w:r>
    </w:p>
    <w:p w14:paraId="97000000">
      <w:pPr>
        <w:pStyle w:val="Style_8"/>
        <w:widowControl w:val="0"/>
        <w:tabs>
          <w:tab w:leader="none" w:pos="993" w:val="left"/>
          <w:tab w:leader="none" w:pos="1134" w:val="left"/>
        </w:tabs>
        <w:ind w:firstLine="567" w:left="0"/>
        <w:jc w:val="both"/>
      </w:pPr>
      <w:r>
        <w:t xml:space="preserve">В случае представления участником отбора в составе документов наряду </w:t>
      </w:r>
      <w:r>
        <w:br/>
      </w:r>
      <w:r>
        <w:t xml:space="preserve">с документами, имеющими надлежащее обоснование размера субсидии, документов </w:t>
      </w:r>
      <w:r>
        <w:br/>
      </w:r>
      <w:r>
        <w:t xml:space="preserve">в части затрат, не подлежащих возмещению за счет средств субсидий, </w:t>
      </w:r>
      <w:r>
        <w:br/>
      </w:r>
      <w:r>
        <w:t>и (или) непредставления документов на указанную в заявке часть затрат, и (или) в случае наличия арифметических ошибок в расчете размера субсидии Отдел также подготавливает положительное заключение в части затрат, подлежащих возмещению за счет средств субсидии и имеющих надлежащее обоснование ее размера.</w:t>
      </w:r>
    </w:p>
    <w:p w14:paraId="98000000">
      <w:pPr>
        <w:pStyle w:val="Style_8"/>
        <w:widowControl w:val="0"/>
        <w:tabs>
          <w:tab w:leader="none" w:pos="993" w:val="left"/>
          <w:tab w:leader="none" w:pos="1134" w:val="left"/>
        </w:tabs>
        <w:ind w:firstLine="567" w:left="0"/>
        <w:jc w:val="both"/>
      </w:pPr>
      <w:r>
        <w:t xml:space="preserve">Если имеются основания для предоставления участнику отбора субсидий, </w:t>
      </w:r>
      <w:r>
        <w:br/>
      </w:r>
      <w:r>
        <w:t xml:space="preserve">но бюджетные ассигнования, предусмотренные для предоставления субсидий, исчерпались (в том числе учитывая положительные заключения в отношении рассмотренных заявок, </w:t>
      </w:r>
      <w:r>
        <w:br/>
      </w:r>
      <w:r>
        <w:t xml:space="preserve">по которым еще не принято решение в соответствии с пунктом 2.20 настоящего Порядка) </w:t>
      </w:r>
      <w:r>
        <w:br/>
      </w:r>
      <w:r>
        <w:t xml:space="preserve">до остатка меньшего, чем размер субсидии, на который претендует данный участник отбора, Отдел также подготавливает положительное заключение, в котором содержатся выводы </w:t>
      </w:r>
      <w:r>
        <w:br/>
      </w:r>
      <w:r>
        <w:t>о наличии оснований для предоставления субсидии в размере, соответствующем объему остатка средств бюджетных ассигнований.</w:t>
      </w:r>
    </w:p>
    <w:p w14:paraId="99000000">
      <w:pPr>
        <w:pStyle w:val="Style_8"/>
        <w:widowControl w:val="0"/>
        <w:numPr>
          <w:ilvl w:val="1"/>
          <w:numId w:val="5"/>
        </w:numPr>
        <w:tabs>
          <w:tab w:leader="none" w:pos="1276" w:val="left"/>
          <w:tab w:leader="none" w:pos="1418" w:val="left"/>
        </w:tabs>
        <w:ind w:firstLine="567" w:left="0"/>
        <w:jc w:val="both"/>
      </w:pPr>
      <w:r>
        <w:t xml:space="preserve">Решение Комитета о предоставлении субсидии принимается на основании </w:t>
      </w:r>
      <w:r>
        <w:t xml:space="preserve">положительного заключения. Данное решение оформляется путем издания распоряжения Комитета о предоставлении субсидии (далее – Распоряжение) не позднее 30 рабочих дней </w:t>
      </w:r>
      <w:r>
        <w:br/>
      </w:r>
      <w:r>
        <w:t>с даты окончания приема заявок.</w:t>
      </w:r>
    </w:p>
    <w:p w14:paraId="9A000000">
      <w:pPr>
        <w:pStyle w:val="Style_8"/>
        <w:widowControl w:val="0"/>
        <w:tabs>
          <w:tab w:leader="none" w:pos="993" w:val="left"/>
          <w:tab w:leader="none" w:pos="1134" w:val="left"/>
        </w:tabs>
        <w:ind w:firstLine="567" w:left="0"/>
        <w:jc w:val="both"/>
      </w:pPr>
      <w:r>
        <w:t xml:space="preserve">В Распоряжении указываются победитель отбора, размер предоставляемой субсидии, </w:t>
      </w:r>
      <w:r>
        <w:br/>
      </w:r>
      <w:r>
        <w:t xml:space="preserve">а также последствия, наступающие в случае </w:t>
      </w:r>
      <w:r>
        <w:t>неподписания</w:t>
      </w:r>
      <w:r>
        <w:t xml:space="preserve"> соглашения со стороны получателя субсидии.</w:t>
      </w:r>
    </w:p>
    <w:p w14:paraId="9B000000">
      <w:pPr>
        <w:pStyle w:val="Style_8"/>
        <w:widowControl w:val="0"/>
        <w:tabs>
          <w:tab w:leader="none" w:pos="993" w:val="left"/>
          <w:tab w:leader="none" w:pos="1134" w:val="left"/>
        </w:tabs>
        <w:ind w:firstLine="567" w:left="0"/>
        <w:jc w:val="both"/>
      </w:pPr>
      <w:r>
        <w:t>Датой определения победителя отбора в качестве получателя субсидии является дата издания</w:t>
      </w:r>
      <w:r>
        <w:rPr>
          <w:color w:val="FF0000"/>
        </w:rPr>
        <w:t xml:space="preserve"> </w:t>
      </w:r>
      <w:r>
        <w:t xml:space="preserve">в отношении него Распоряжения. </w:t>
      </w:r>
    </w:p>
    <w:p w14:paraId="9C000000">
      <w:pPr>
        <w:pStyle w:val="Style_8"/>
        <w:widowControl w:val="1"/>
        <w:numPr>
          <w:ilvl w:val="1"/>
          <w:numId w:val="5"/>
        </w:numPr>
        <w:tabs>
          <w:tab w:leader="none" w:pos="1134" w:val="left"/>
        </w:tabs>
        <w:ind w:firstLine="567" w:left="0"/>
        <w:jc w:val="both"/>
      </w:pPr>
      <w:r>
        <w:t xml:space="preserve">Протокол подведения итогов отбора размещается на сайте Комитета </w:t>
      </w:r>
      <w:r>
        <w:br/>
      </w:r>
      <w:r>
        <w:t xml:space="preserve">и на Площадке отбора в срок не позднее 14 дней, следующих за днем определения </w:t>
      </w:r>
      <w:r>
        <w:br/>
      </w:r>
      <w:r>
        <w:t>победителя (победителей) отбора и включает в себя следующие сведения:</w:t>
      </w:r>
    </w:p>
    <w:p w14:paraId="9D000000">
      <w:pPr>
        <w:widowControl w:val="1"/>
        <w:tabs>
          <w:tab w:leader="none" w:pos="1134" w:val="left"/>
        </w:tabs>
        <w:ind w:firstLine="567"/>
        <w:jc w:val="both"/>
      </w:pPr>
      <w:r>
        <w:t>дату, время и место проведения процедуры рассмотрения заявок и документов;</w:t>
      </w:r>
    </w:p>
    <w:p w14:paraId="9E000000">
      <w:pPr>
        <w:widowControl w:val="1"/>
        <w:tabs>
          <w:tab w:leader="none" w:pos="1134" w:val="left"/>
        </w:tabs>
        <w:ind w:firstLine="567"/>
        <w:jc w:val="both"/>
      </w:pPr>
      <w:r>
        <w:t>информацию об участниках отбора, заявки которых были рассмотрены;</w:t>
      </w:r>
    </w:p>
    <w:p w14:paraId="9F000000">
      <w:pPr>
        <w:widowControl w:val="1"/>
        <w:tabs>
          <w:tab w:leader="none" w:pos="1134" w:val="left"/>
        </w:tabs>
        <w:ind w:firstLine="567"/>
        <w:jc w:val="both"/>
      </w:pPr>
      <w:r>
        <w:t>информацию об участниках отбора, заявки которых были отклонены, с указанием причин их отклонения, в том числе положения объявления, которым не соответствуют такие заявки;</w:t>
      </w:r>
    </w:p>
    <w:p w14:paraId="A0000000">
      <w:pPr>
        <w:widowControl w:val="1"/>
        <w:ind w:firstLine="567"/>
        <w:jc w:val="both"/>
      </w:pPr>
      <w:r>
        <w:t>наименование победителей отбора (получателей субсидий), с которыми заключены</w:t>
      </w:r>
      <w:r>
        <w:rPr>
          <w:strike w:val="1"/>
        </w:rPr>
        <w:t xml:space="preserve"> </w:t>
      </w:r>
      <w:r>
        <w:t>соглашения, и размер предоставляемых им субсидий.</w:t>
      </w:r>
    </w:p>
    <w:p w14:paraId="A1000000">
      <w:pPr>
        <w:widowControl w:val="1"/>
        <w:tabs>
          <w:tab w:leader="none" w:pos="1276" w:val="left"/>
        </w:tabs>
        <w:ind w:firstLine="567"/>
        <w:jc w:val="both"/>
        <w:rPr>
          <w:color w:themeColor="text1" w:val="000000"/>
        </w:rPr>
      </w:pPr>
    </w:p>
    <w:p w14:paraId="A2000000">
      <w:pPr>
        <w:pStyle w:val="Style_8"/>
        <w:widowControl w:val="0"/>
        <w:numPr>
          <w:ilvl w:val="0"/>
          <w:numId w:val="4"/>
        </w:numPr>
        <w:ind w:left="0"/>
        <w:jc w:val="center"/>
        <w:rPr>
          <w:b w:val="1"/>
          <w:color w:themeColor="text1" w:val="000000"/>
        </w:rPr>
      </w:pPr>
      <w:r>
        <w:rPr>
          <w:b w:val="1"/>
          <w:color w:themeColor="text1" w:val="000000"/>
        </w:rPr>
        <w:t>Условия предоставления субсидий, требования к участникам отборов</w:t>
      </w:r>
    </w:p>
    <w:p w14:paraId="A3000000">
      <w:pPr>
        <w:widowControl w:val="1"/>
        <w:ind/>
        <w:jc w:val="both"/>
        <w:rPr>
          <w:color w:themeColor="text1" w:val="000000"/>
        </w:rPr>
      </w:pPr>
    </w:p>
    <w:p w14:paraId="A4000000">
      <w:pPr>
        <w:pStyle w:val="Style_8"/>
        <w:widowControl w:val="1"/>
        <w:ind w:firstLine="567" w:left="0"/>
        <w:jc w:val="both"/>
        <w:rPr>
          <w:i w:val="1"/>
        </w:rPr>
      </w:pPr>
      <w:r>
        <w:t>3.1.    Для получения субсидий участники отбора должны соответствовать следующим требованиям:</w:t>
      </w:r>
    </w:p>
    <w:p w14:paraId="A5000000">
      <w:pPr>
        <w:pStyle w:val="Style_8"/>
        <w:widowControl w:val="0"/>
        <w:numPr>
          <w:ilvl w:val="2"/>
          <w:numId w:val="6"/>
        </w:numPr>
        <w:tabs>
          <w:tab w:leader="none" w:pos="1276" w:val="left"/>
        </w:tabs>
        <w:ind w:firstLine="567" w:left="0"/>
        <w:jc w:val="both"/>
      </w:pPr>
      <w:r>
        <w:t>На дату подачи заявки:</w:t>
      </w:r>
    </w:p>
    <w:p w14:paraId="A6000000">
      <w:pPr>
        <w:widowControl w:val="0"/>
        <w:tabs>
          <w:tab w:leader="none" w:pos="1276" w:val="left"/>
        </w:tabs>
        <w:ind w:firstLine="567"/>
        <w:contextualSpacing w:val="1"/>
        <w:jc w:val="both"/>
      </w:pPr>
      <w: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br/>
      </w:r>
      <w:r>
        <w:t xml:space="preserve">в утвержденный Министерством финансов Российской Федерации перечень государств </w:t>
      </w:r>
      <w:r>
        <w:br/>
      </w:r>
      <w:r>
        <w:t xml:space="preserve">и территорий, используемых для промежуточного (офшорного) владения активами </w:t>
      </w:r>
      <w:r>
        <w:br/>
      </w:r>
      <w: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br/>
      </w:r>
      <w:r>
        <w:t xml:space="preserve">(через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br/>
      </w:r>
      <w:r>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br/>
      </w:r>
      <w:r>
        <w:t>в капитале указанных публичных акционерных обществ;</w:t>
      </w:r>
    </w:p>
    <w:p w14:paraId="A7000000">
      <w:pPr>
        <w:widowControl w:val="0"/>
        <w:tabs>
          <w:tab w:leader="none" w:pos="1276" w:val="left"/>
        </w:tabs>
        <w:ind w:firstLine="567"/>
        <w:contextualSpacing w:val="1"/>
        <w:jc w:val="both"/>
      </w:pPr>
      <w:r>
        <w:t xml:space="preserve">участник отбора не находится в перечне организаций и физических лиц, </w:t>
      </w:r>
      <w:r>
        <w:br/>
      </w:r>
      <w:r>
        <w:t>в отношении которых имеются сведения об их причастности к экстремистской деятельности или терроризму;</w:t>
      </w:r>
    </w:p>
    <w:p w14:paraId="A8000000">
      <w:pPr>
        <w:widowControl w:val="0"/>
        <w:tabs>
          <w:tab w:leader="none" w:pos="1276" w:val="left"/>
        </w:tabs>
        <w:ind w:firstLine="567"/>
        <w:contextualSpacing w:val="1"/>
        <w:jc w:val="both"/>
      </w:pPr>
      <w:r>
        <w:t xml:space="preserve">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br/>
      </w:r>
      <w:r>
        <w:t xml:space="preserve">и физических лиц, связанных с террористическими организациями и террористами </w:t>
      </w:r>
      <w:r>
        <w:br/>
      </w:r>
      <w:r>
        <w:t>или с распространением оружия массового уничтожения;</w:t>
      </w:r>
    </w:p>
    <w:p w14:paraId="A9000000">
      <w:pPr>
        <w:widowControl w:val="0"/>
        <w:tabs>
          <w:tab w:leader="none" w:pos="1276" w:val="left"/>
        </w:tabs>
        <w:ind w:firstLine="567"/>
        <w:contextualSpacing w:val="1"/>
        <w:jc w:val="both"/>
      </w:pPr>
      <w:r>
        <w:t xml:space="preserve">участник отбора не получал и не получает средства из бюджета Санкт-Петербурга </w:t>
      </w:r>
      <w:r>
        <w:br/>
      </w:r>
      <w:r>
        <w:t>на основании иных нормативных правовых актов Санкт-Петербурга на цели, установленные в пункте 1.4 настоящего Порядка;</w:t>
      </w:r>
    </w:p>
    <w:p w14:paraId="AA000000">
      <w:pPr>
        <w:widowControl w:val="1"/>
        <w:ind w:firstLine="567"/>
        <w:jc w:val="both"/>
      </w:pPr>
      <w:r>
        <w:t xml:space="preserve">участник отбора не является иностранным агентом в соответствии </w:t>
      </w:r>
      <w:r>
        <w:br/>
      </w:r>
      <w:r>
        <w:t>с Федеральным законом «О контроле за деятельностью лиц, находящихся под иностранным влиянием»;</w:t>
      </w:r>
    </w:p>
    <w:p w14:paraId="AB000000">
      <w:pPr>
        <w:widowControl w:val="0"/>
        <w:tabs>
          <w:tab w:leader="none" w:pos="1276" w:val="left"/>
        </w:tabs>
        <w:ind w:firstLine="567"/>
        <w:contextualSpacing w:val="1"/>
        <w:jc w:val="both"/>
      </w:pPr>
      <w:r>
        <w:t xml:space="preserve">участник отбора не находится в процессе реорганизации (за исключением </w:t>
      </w:r>
      <w:r>
        <w:t xml:space="preserve">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br/>
      </w:r>
      <w:r>
        <w:t>не приостановлена в порядке, предусмотренном законодательством Российской Федерации;</w:t>
      </w:r>
    </w:p>
    <w:p w14:paraId="AC000000">
      <w:pPr>
        <w:widowControl w:val="0"/>
        <w:tabs>
          <w:tab w:leader="none" w:pos="1276" w:val="left"/>
        </w:tabs>
        <w:ind w:firstLine="567"/>
        <w:contextualSpacing w:val="1"/>
        <w:jc w:val="both"/>
      </w:pPr>
      <w:r>
        <w:t xml:space="preserve">участник отбора осуществляет хозяйственную деятельность на территории </w:t>
      </w:r>
      <w:r>
        <w:br/>
      </w:r>
      <w:r>
        <w:t>Санкт-Петербурга в соответствии со своим уставом;</w:t>
      </w:r>
    </w:p>
    <w:p w14:paraId="AD000000">
      <w:pPr>
        <w:widowControl w:val="0"/>
        <w:tabs>
          <w:tab w:leader="none" w:pos="1276" w:val="left"/>
        </w:tabs>
        <w:ind w:firstLine="567"/>
        <w:contextualSpacing w:val="1"/>
        <w:jc w:val="both"/>
      </w:pPr>
      <w: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br/>
      </w:r>
      <w:r>
        <w:t xml:space="preserve">в сфере закупок товаров, работ, услуг для обеспечения государственных </w:t>
      </w:r>
      <w:r>
        <w:br/>
      </w:r>
      <w:r>
        <w:t>и муниципальных нужд» отсутствует информация об участнике отбора;</w:t>
      </w:r>
    </w:p>
    <w:p w14:paraId="AE000000">
      <w:pPr>
        <w:widowControl w:val="0"/>
        <w:tabs>
          <w:tab w:leader="none" w:pos="1276" w:val="left"/>
        </w:tabs>
        <w:ind w:firstLine="567"/>
        <w:contextualSpacing w:val="1"/>
        <w:jc w:val="both"/>
      </w:pPr>
      <w:r>
        <w:t>в реестре дисквалифицированных лиц отсутствуют сведения</w:t>
      </w:r>
      <w:r>
        <w:br/>
      </w:r>
      <w: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AF000000">
      <w:pPr>
        <w:widowControl w:val="1"/>
        <w:ind w:firstLine="567"/>
        <w:jc w:val="both"/>
      </w:pPr>
      <w:r>
        <w:t>у участника отбора отсутствует задолженность по заработной плате, подтвержденная вступившими в законную силу судебными актами;</w:t>
      </w:r>
    </w:p>
    <w:p w14:paraId="B0000000">
      <w:pPr>
        <w:widowControl w:val="0"/>
        <w:tabs>
          <w:tab w:leader="none" w:pos="1276" w:val="left"/>
        </w:tabs>
        <w:ind w:firstLine="567"/>
        <w:contextualSpacing w:val="1"/>
        <w:jc w:val="both"/>
      </w:pPr>
      <w:r>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br/>
      </w:r>
      <w:r>
        <w:t>не исполнены требования о возврате средств Санкт-Петербурга и (или) вступило в силу постановление о назначении административного наказания.</w:t>
      </w:r>
    </w:p>
    <w:p w14:paraId="B1000000">
      <w:pPr>
        <w:pStyle w:val="Style_9"/>
        <w:widowControl w:val="1"/>
        <w:numPr>
          <w:ilvl w:val="2"/>
          <w:numId w:val="6"/>
        </w:numPr>
        <w:tabs>
          <w:tab w:leader="none" w:pos="1276" w:val="left"/>
        </w:tabs>
        <w:ind w:firstLine="567" w:left="0"/>
        <w:jc w:val="both"/>
      </w:pPr>
      <w:r>
        <w:t xml:space="preserve">На дату не ранее 30 календарных дней до даты подачи заявки и документов </w:t>
      </w:r>
      <w:r>
        <w:br/>
      </w:r>
      <w:r>
        <w:t>у участника отбора на едином налоговом счете отсутствует задолженность по уплате налогов, сборов и страховых взносов в бюджеты бюджетной системы Российской Федерации или ее размер не превышает размер, определенный в пункте 3 статьи 47 Налогового кодекса Российской Федерации (далее – требование об отсутствии налоговой задолженности).</w:t>
      </w:r>
    </w:p>
    <w:p w14:paraId="B2000000">
      <w:pPr>
        <w:pStyle w:val="Style_8"/>
        <w:widowControl w:val="0"/>
        <w:numPr>
          <w:ilvl w:val="2"/>
          <w:numId w:val="6"/>
        </w:numPr>
        <w:tabs>
          <w:tab w:leader="none" w:pos="1276" w:val="left"/>
        </w:tabs>
        <w:ind w:firstLine="567" w:left="0"/>
        <w:jc w:val="both"/>
      </w:pPr>
      <w:r>
        <w:t xml:space="preserve">На дату не ранее 30 календарных дней до 1 числа месяца, в котором </w:t>
      </w:r>
      <w:r>
        <w:br/>
      </w:r>
      <w:r>
        <w:t xml:space="preserve">панируется проведение отбора на предоставление субсидий, 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w:t>
      </w:r>
      <w:r>
        <w:br/>
      </w:r>
      <w:r>
        <w:t xml:space="preserve">по денежным обязательствам перед бюджетом Санкт-Петербурга (далее – требование </w:t>
      </w:r>
      <w:r>
        <w:br/>
      </w:r>
      <w:r>
        <w:t>об отсутствии задолженности по денежным обязательствам).</w:t>
      </w:r>
    </w:p>
    <w:p w14:paraId="B3000000">
      <w:pPr>
        <w:pStyle w:val="Style_8"/>
        <w:widowControl w:val="0"/>
        <w:numPr>
          <w:ilvl w:val="2"/>
          <w:numId w:val="6"/>
        </w:numPr>
        <w:tabs>
          <w:tab w:leader="none" w:pos="1276" w:val="left"/>
        </w:tabs>
        <w:ind w:firstLine="567" w:left="0"/>
        <w:jc w:val="both"/>
        <w:rPr>
          <w:strike w:val="1"/>
        </w:rPr>
      </w:pPr>
      <w:r>
        <w:t xml:space="preserve">У участника отбора размер средней заработной платы каждого работника организации (включая работников обособленных подразделений, находящихся </w:t>
      </w:r>
      <w:r>
        <w:br/>
      </w:r>
      <w:r>
        <w:t xml:space="preserve">на территории Санкт-Петербурга), рассчитываемый в соответствии со статьей </w:t>
      </w:r>
      <w:r>
        <w:br/>
      </w:r>
      <w:r>
        <w:t>139 Трудового кодекса Российской Федерации, в течение 2024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2024 года.</w:t>
      </w:r>
    </w:p>
    <w:p w14:paraId="B4000000">
      <w:pPr>
        <w:pStyle w:val="Style_8"/>
        <w:widowControl w:val="0"/>
        <w:numPr>
          <w:ilvl w:val="2"/>
          <w:numId w:val="6"/>
        </w:numPr>
        <w:tabs>
          <w:tab w:leader="none" w:pos="1276" w:val="left"/>
        </w:tabs>
        <w:ind w:firstLine="567" w:left="0"/>
        <w:jc w:val="both"/>
        <w:rPr>
          <w:i w:val="1"/>
        </w:rPr>
      </w:pPr>
      <w:r>
        <w:t xml:space="preserve">У участника отбора размер средней заработной платы каждого работника (включая ее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о предоставлении субсидии </w:t>
      </w:r>
      <w:r>
        <w:br/>
      </w:r>
      <w:r>
        <w:t xml:space="preserve">до даты, по состоянию на которую им как получателем субсидии формируется отчетность, предусмотренная пунктом 5.1 настоящего Порядка, не ниже размера минимальной заработной платы в Санкт-Петербурге, установленного региональным соглашением </w:t>
      </w:r>
      <w:r>
        <w:br/>
      </w:r>
      <w:r>
        <w:t>о минимальной заработной плате в Санкт-Петербурге на соответствующий период.</w:t>
      </w:r>
    </w:p>
    <w:p w14:paraId="B5000000">
      <w:pPr>
        <w:pStyle w:val="Style_8"/>
        <w:widowControl w:val="1"/>
        <w:tabs>
          <w:tab w:leader="none" w:pos="1276" w:val="left"/>
        </w:tabs>
        <w:ind w:firstLine="567" w:left="0"/>
        <w:jc w:val="both"/>
        <w:rPr>
          <w:color w:themeColor="text1" w:val="000000"/>
        </w:rPr>
      </w:pPr>
      <w:r>
        <w:rPr>
          <w:color w:themeColor="text1" w:val="000000"/>
        </w:rPr>
        <w:t>3.2.     Условиями предоставления субсидий являются:</w:t>
      </w:r>
    </w:p>
    <w:p w14:paraId="B6000000">
      <w:pPr>
        <w:pStyle w:val="Style_8"/>
        <w:widowControl w:val="0"/>
        <w:numPr>
          <w:ilvl w:val="2"/>
          <w:numId w:val="7"/>
        </w:numPr>
        <w:tabs>
          <w:tab w:leader="none" w:pos="1276" w:val="left"/>
        </w:tabs>
        <w:ind w:firstLine="567" w:left="0"/>
        <w:jc w:val="both"/>
        <w:rPr>
          <w:color w:themeColor="text1" w:val="000000"/>
        </w:rPr>
      </w:pPr>
      <w:r>
        <w:rPr>
          <w:color w:themeColor="text1" w:val="000000"/>
        </w:rPr>
        <w:t>Соответствие участника отбора категории, установленной в пункте 1.4 настоящего Порядка.</w:t>
      </w:r>
    </w:p>
    <w:p w14:paraId="B7000000">
      <w:pPr>
        <w:pStyle w:val="Style_8"/>
        <w:widowControl w:val="0"/>
        <w:numPr>
          <w:ilvl w:val="2"/>
          <w:numId w:val="7"/>
        </w:numPr>
        <w:tabs>
          <w:tab w:leader="none" w:pos="1276" w:val="left"/>
        </w:tabs>
        <w:ind w:firstLine="567" w:left="0"/>
        <w:jc w:val="both"/>
        <w:rPr>
          <w:color w:themeColor="text1" w:val="000000"/>
        </w:rPr>
      </w:pPr>
      <w:r>
        <w:rPr>
          <w:color w:themeColor="text1" w:val="000000"/>
        </w:rPr>
        <w:t xml:space="preserve">Соответствие понесенных участником отбора затрат направлениям, </w:t>
      </w:r>
      <w:r>
        <w:rPr>
          <w:color w:themeColor="text1" w:val="000000"/>
        </w:rPr>
        <w:t>определенным в пункте 1.6 настоящего Порядка.</w:t>
      </w:r>
    </w:p>
    <w:p w14:paraId="B8000000">
      <w:pPr>
        <w:pStyle w:val="Style_8"/>
        <w:widowControl w:val="0"/>
        <w:numPr>
          <w:ilvl w:val="2"/>
          <w:numId w:val="7"/>
        </w:numPr>
        <w:tabs>
          <w:tab w:leader="none" w:pos="1276" w:val="left"/>
        </w:tabs>
        <w:ind w:firstLine="567" w:left="0"/>
        <w:jc w:val="both"/>
      </w:pPr>
      <w:r>
        <w:t xml:space="preserve">Документальное подтверждение понесенных участником отбора затрат, </w:t>
      </w:r>
      <w:r>
        <w:br/>
      </w:r>
      <w:r>
        <w:t>на возмещение которых он претендует за счет средств субсидий.</w:t>
      </w:r>
    </w:p>
    <w:p w14:paraId="B9000000">
      <w:pPr>
        <w:pStyle w:val="Style_9"/>
        <w:widowControl w:val="0"/>
        <w:numPr>
          <w:ilvl w:val="2"/>
          <w:numId w:val="7"/>
        </w:numPr>
        <w:tabs>
          <w:tab w:leader="none" w:pos="709" w:val="left"/>
          <w:tab w:leader="none" w:pos="851" w:val="left"/>
          <w:tab w:leader="none" w:pos="993" w:val="left"/>
          <w:tab w:leader="none" w:pos="1276" w:val="left"/>
        </w:tabs>
        <w:ind w:firstLine="567" w:left="0"/>
        <w:jc w:val="both"/>
        <w:rPr>
          <w:color w:themeColor="text1" w:val="000000"/>
        </w:rPr>
      </w:pPr>
      <w:r>
        <w:rPr>
          <w:color w:themeColor="text1" w:val="000000"/>
        </w:rPr>
        <w:t xml:space="preserve">Трудоустройство участником отбора сотрудников из других регионов, которым выплачена компенсация, или в целях проживания предоставлено жилое помещение, которым участник отбора владеет на правах аренды, не ранее 01.07.2024, при этом осуществление выплат им компенсаций или предоставление жилых помещений не ранее 01.11.2024. </w:t>
      </w:r>
    </w:p>
    <w:p w14:paraId="BA000000">
      <w:pPr>
        <w:pStyle w:val="Style_8"/>
        <w:widowControl w:val="0"/>
        <w:numPr>
          <w:ilvl w:val="2"/>
          <w:numId w:val="7"/>
        </w:numPr>
        <w:tabs>
          <w:tab w:leader="none" w:pos="1276" w:val="left"/>
        </w:tabs>
        <w:ind w:firstLine="567" w:left="0"/>
        <w:jc w:val="both"/>
        <w:rPr>
          <w:color w:themeColor="text1" w:val="000000"/>
        </w:rPr>
      </w:pPr>
      <w:r>
        <w:rPr>
          <w:color w:themeColor="text1" w:val="000000"/>
        </w:rPr>
        <w:t>Наличие письменного согласия участника отбора:</w:t>
      </w:r>
    </w:p>
    <w:p w14:paraId="BB000000">
      <w:pPr>
        <w:widowControl w:val="0"/>
        <w:tabs>
          <w:tab w:leader="none" w:pos="1276" w:val="left"/>
        </w:tabs>
        <w:ind w:firstLine="567"/>
        <w:jc w:val="both"/>
      </w:pPr>
      <w:r>
        <w:t>на осуществление Комитетом в отношении него как получателя субсидии проверок соблюдения условий и порядка предоставления субсидии, в том числе в части достижения результата, установленного в пункте 4.6 настоящего Порядка (далее – проверки соблюдения условий и порядка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BC000000">
      <w:pPr>
        <w:widowControl w:val="1"/>
        <w:tabs>
          <w:tab w:leader="none" w:pos="1276" w:val="left"/>
        </w:tabs>
        <w:ind w:firstLine="567"/>
        <w:contextualSpacing w:val="1"/>
        <w:jc w:val="both"/>
      </w:pPr>
      <w:r>
        <w:t>на публикацию на сайте Комитета и на Площадке отбора в отношении него информации, связанной с отбором и (или) предоставлением субсидии.</w:t>
      </w:r>
    </w:p>
    <w:p w14:paraId="BD000000">
      <w:pPr>
        <w:pStyle w:val="Style_8"/>
        <w:widowControl w:val="0"/>
        <w:numPr>
          <w:ilvl w:val="2"/>
          <w:numId w:val="7"/>
        </w:numPr>
        <w:tabs>
          <w:tab w:leader="none" w:pos="1276" w:val="left"/>
        </w:tabs>
        <w:ind w:firstLine="567" w:left="0"/>
        <w:jc w:val="both"/>
      </w:pPr>
      <w:r>
        <w:rPr>
          <w:color w:themeColor="text1" w:val="000000"/>
        </w:rPr>
        <w:t xml:space="preserve">Наличие письменного обязательства участника отбора (в том числе </w:t>
      </w:r>
      <w:r>
        <w:t>последующее исполнение им как получателем субсидии соответствующего обязательства):</w:t>
      </w:r>
    </w:p>
    <w:p w14:paraId="BE000000">
      <w:pPr>
        <w:widowControl w:val="0"/>
        <w:tabs>
          <w:tab w:leader="none" w:pos="1276" w:val="left"/>
        </w:tabs>
        <w:ind w:firstLine="567"/>
        <w:jc w:val="both"/>
      </w:pPr>
      <w:r>
        <w:t xml:space="preserve">достичь результата, установленного в пункте 4.6 настоящего Порядка, исходя </w:t>
      </w:r>
      <w:r>
        <w:br/>
      </w:r>
      <w:r>
        <w:t>из его характеристики, установленной в пункте 4.7 настоящего Порядка;</w:t>
      </w:r>
    </w:p>
    <w:p w14:paraId="BF000000">
      <w:pPr>
        <w:widowControl w:val="1"/>
        <w:ind w:firstLine="567"/>
        <w:jc w:val="both"/>
        <w:rPr>
          <w:color w:themeColor="text1" w:val="000000"/>
        </w:rPr>
      </w:pPr>
      <w:r>
        <w:rPr>
          <w:color w:themeColor="text1" w:val="000000"/>
        </w:rPr>
        <w:t xml:space="preserve">возвратить средства субсидии в бюджет Санкт-Петербурга при нарушении условий и(или) порядка их предоставления и(или) </w:t>
      </w:r>
      <w:r>
        <w:rPr>
          <w:color w:themeColor="text1" w:val="000000"/>
        </w:rPr>
        <w:t>недостижении</w:t>
      </w:r>
      <w:r>
        <w:rPr>
          <w:color w:themeColor="text1" w:val="000000"/>
        </w:rPr>
        <w:t xml:space="preserve"> результата в соответствии </w:t>
      </w:r>
      <w:r>
        <w:rPr>
          <w:color w:themeColor="text1" w:val="000000"/>
        </w:rPr>
        <w:br/>
      </w:r>
      <w:r>
        <w:rPr>
          <w:color w:themeColor="text1" w:val="000000"/>
        </w:rPr>
        <w:t>с пунктами 6.4, 6.5 и 6.7 настоящего Порядка;</w:t>
      </w:r>
    </w:p>
    <w:p w14:paraId="C0000000">
      <w:pPr>
        <w:widowControl w:val="1"/>
        <w:ind w:firstLine="567"/>
        <w:jc w:val="both"/>
      </w:pPr>
      <w:r>
        <w:t xml:space="preserve">на дату принятия решения о перечислении субсидии или ее частей на счета получателя субсидии соответствовать требованию об отсутствии задолженности </w:t>
      </w:r>
      <w:r>
        <w:br/>
      </w:r>
      <w:r>
        <w:t>по денежным обязательствам, а также не иметь налоговой задолженности в размере, превышающем допустимую налоговую задолженность;</w:t>
      </w:r>
    </w:p>
    <w:p w14:paraId="C1000000">
      <w:pPr>
        <w:widowControl w:val="1"/>
        <w:ind w:firstLine="567"/>
        <w:jc w:val="both"/>
      </w:pPr>
      <w:r>
        <w:t xml:space="preserve">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размер средней заработной платы каждого работника организации (включая обособленные подразделения, находящиеся на территории Санкт-Петербурга), рассчитываемый </w:t>
      </w:r>
      <w:r>
        <w:br/>
      </w:r>
      <w: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14:paraId="C2000000">
      <w:pPr>
        <w:widowControl w:val="1"/>
        <w:ind w:firstLine="567"/>
        <w:jc w:val="both"/>
        <w:rPr>
          <w:color w:themeColor="text1" w:val="000000"/>
        </w:rPr>
      </w:pPr>
      <w:r>
        <w:rPr>
          <w:color w:themeColor="text1" w:val="000000"/>
        </w:rPr>
        <w:t>обеспечить соблюдения требований Федерального закона «О персональных данных».</w:t>
      </w:r>
      <w:r>
        <w:rPr>
          <w:i w:val="1"/>
          <w:color w:themeColor="text1" w:val="000000"/>
        </w:rPr>
        <w:t xml:space="preserve"> </w:t>
      </w:r>
    </w:p>
    <w:p w14:paraId="C3000000">
      <w:pPr>
        <w:pStyle w:val="Style_8"/>
        <w:widowControl w:val="0"/>
        <w:numPr>
          <w:ilvl w:val="2"/>
          <w:numId w:val="7"/>
        </w:numPr>
        <w:tabs>
          <w:tab w:leader="none" w:pos="1276" w:val="left"/>
        </w:tabs>
        <w:ind w:firstLine="567" w:left="0"/>
        <w:jc w:val="both"/>
        <w:rPr>
          <w:color w:themeColor="text1" w:val="000000"/>
        </w:rPr>
      </w:pPr>
      <w:r>
        <w:rPr>
          <w:color w:themeColor="text1" w:val="000000"/>
        </w:rPr>
        <w:t xml:space="preserve">Письменное подтверждение участником отбора полноты и достоверности сведений, представляемых в Комитет в связи </w:t>
      </w:r>
      <w:r>
        <w:t>с участием в отборе и(или)</w:t>
      </w:r>
      <w:r>
        <w:rPr>
          <w:color w:themeColor="text1" w:val="000000"/>
        </w:rPr>
        <w:t xml:space="preserve"> предоставлением ему субсидии.</w:t>
      </w:r>
    </w:p>
    <w:p w14:paraId="C4000000">
      <w:pPr>
        <w:pStyle w:val="Style_8"/>
        <w:widowControl w:val="0"/>
        <w:tabs>
          <w:tab w:leader="none" w:pos="1276" w:val="left"/>
        </w:tabs>
        <w:ind w:left="567"/>
        <w:jc w:val="both"/>
        <w:rPr>
          <w:color w:themeColor="text1" w:val="000000"/>
        </w:rPr>
      </w:pPr>
    </w:p>
    <w:p w14:paraId="C5000000">
      <w:pPr>
        <w:pStyle w:val="Style_8"/>
        <w:widowControl w:val="0"/>
        <w:numPr>
          <w:ilvl w:val="0"/>
          <w:numId w:val="4"/>
        </w:numPr>
        <w:ind w:left="0"/>
        <w:jc w:val="center"/>
        <w:rPr>
          <w:b w:val="1"/>
          <w:color w:themeColor="text1" w:val="000000"/>
        </w:rPr>
      </w:pPr>
      <w:r>
        <w:rPr>
          <w:b w:val="1"/>
          <w:color w:themeColor="text1" w:val="000000"/>
        </w:rPr>
        <w:t>Порядок предоставления субсидий</w:t>
      </w:r>
    </w:p>
    <w:p w14:paraId="C6000000">
      <w:pPr>
        <w:widowControl w:val="1"/>
        <w:ind w:firstLine="709"/>
        <w:jc w:val="both"/>
        <w:rPr>
          <w:color w:themeColor="text1" w:val="000000"/>
        </w:rPr>
      </w:pPr>
    </w:p>
    <w:p w14:paraId="C7000000">
      <w:pPr>
        <w:pStyle w:val="Style_8"/>
        <w:widowControl w:val="1"/>
        <w:numPr>
          <w:ilvl w:val="1"/>
          <w:numId w:val="8"/>
        </w:numPr>
        <w:tabs>
          <w:tab w:leader="none" w:pos="1134" w:val="left"/>
        </w:tabs>
        <w:ind w:firstLine="567" w:left="0"/>
        <w:jc w:val="both"/>
      </w:pPr>
      <w:r>
        <w:t>Распоряжение является основанием для заключения соглашения, на основании которого предоставляется субсидия.</w:t>
      </w:r>
    </w:p>
    <w:p w14:paraId="C8000000">
      <w:pPr>
        <w:widowControl w:val="1"/>
        <w:tabs>
          <w:tab w:leader="none" w:pos="1134" w:val="left"/>
        </w:tabs>
        <w:ind w:firstLine="567"/>
        <w:contextualSpacing w:val="1"/>
        <w:jc w:val="both"/>
      </w:pPr>
      <w:r>
        <w:t xml:space="preserve">Соглашение заключается между Комитетом и победителем отбора в соответствии </w:t>
      </w:r>
      <w:r>
        <w:br/>
      </w:r>
      <w:r>
        <w:t>с типовой формой, утвержденной Комитетом финансов Санкт-Петербурга (далее – Типовая форма).</w:t>
      </w:r>
    </w:p>
    <w:p w14:paraId="C9000000">
      <w:pPr>
        <w:pStyle w:val="Style_9"/>
        <w:widowControl w:val="1"/>
        <w:ind w:firstLine="567"/>
        <w:jc w:val="both"/>
      </w:pPr>
      <w:r>
        <w:t xml:space="preserve">Соглашение (в том числе все дополнительные соглашения к нему, оформленные </w:t>
      </w:r>
      <w:r>
        <w:br/>
      </w:r>
      <w:r>
        <w:t xml:space="preserve">в соответствии с Типовой формой) формируется в форме электронного документа </w:t>
      </w:r>
      <w:r>
        <w:br/>
      </w:r>
      <w:r>
        <w:t>и подписывается в АИС БП-ЭК.</w:t>
      </w:r>
    </w:p>
    <w:p w14:paraId="CA000000">
      <w:pPr>
        <w:widowControl w:val="1"/>
        <w:tabs>
          <w:tab w:leader="none" w:pos="1276" w:val="left"/>
        </w:tabs>
        <w:ind w:firstLine="567"/>
        <w:jc w:val="both"/>
      </w:pPr>
    </w:p>
    <w:p w14:paraId="CB000000">
      <w:pPr>
        <w:pStyle w:val="Style_8"/>
        <w:widowControl w:val="1"/>
        <w:numPr>
          <w:ilvl w:val="1"/>
          <w:numId w:val="8"/>
        </w:numPr>
        <w:tabs>
          <w:tab w:leader="none" w:pos="1276" w:val="left"/>
        </w:tabs>
        <w:ind w:firstLine="567" w:left="0"/>
        <w:jc w:val="both"/>
        <w:rPr>
          <w:i w:val="1"/>
        </w:rPr>
      </w:pPr>
      <w:r>
        <w:t xml:space="preserve">Комитет не позднее пяти рабочих дней дня с даты издания распоряжения Комитета направляет победителю отбора посредством АИС БП-ЭК проект соглашения, который подлежит подписанию в АИС БП-ЭК со стороны победителя отбора в течение трех рабочих дней с даты его получения. </w:t>
      </w:r>
    </w:p>
    <w:p w14:paraId="CC000000">
      <w:pPr>
        <w:widowControl w:val="1"/>
        <w:tabs>
          <w:tab w:leader="none" w:pos="1276" w:val="left"/>
        </w:tabs>
        <w:ind w:firstLine="567"/>
        <w:jc w:val="both"/>
      </w:pPr>
      <w:r>
        <w:t xml:space="preserve">В случае </w:t>
      </w:r>
      <w:r>
        <w:t>неподписания</w:t>
      </w:r>
      <w:r>
        <w:t xml:space="preserve"> проекта соглашения со стороны победителя отбора в срок, установленный в абзаце первом настоящего пункта, он подлежит признанию уклонившимся </w:t>
      </w:r>
      <w:r>
        <w:br/>
      </w:r>
      <w:r>
        <w:t xml:space="preserve">от заключения соглашения, а Распоряжение подлежит признанию утратившим силу полностью либо в части победителя отбора, признанного уклонившимся </w:t>
      </w:r>
      <w:r>
        <w:br/>
      </w:r>
      <w:r>
        <w:t>от заключения соглашения (если Распоряжение издано в отношении нескольких победителей отбора).</w:t>
      </w:r>
    </w:p>
    <w:p w14:paraId="CD000000">
      <w:pPr>
        <w:widowControl w:val="1"/>
        <w:tabs>
          <w:tab w:leader="none" w:pos="1276" w:val="left"/>
        </w:tabs>
        <w:ind w:firstLine="567"/>
        <w:jc w:val="both"/>
      </w:pPr>
      <w:r>
        <w:t xml:space="preserve">Подписанный со стороны победителя отбора проект соглашения подлежит подписанию в АИС БП-ЭК со стороны Комитета, после чего соглашение считается заключенным, </w:t>
      </w:r>
      <w:r>
        <w:br/>
      </w:r>
      <w:r>
        <w:t xml:space="preserve">а победитель отбора – получателем субсидии. </w:t>
      </w:r>
    </w:p>
    <w:p w14:paraId="CE000000">
      <w:pPr>
        <w:widowControl w:val="1"/>
        <w:tabs>
          <w:tab w:leader="none" w:pos="1276" w:val="left"/>
        </w:tabs>
        <w:ind w:firstLine="567"/>
        <w:jc w:val="both"/>
      </w:pPr>
      <w:r>
        <w:t>Срок заключения соглашения не должен превышать десяти рабочих дней с даты издания Распоряжения.</w:t>
      </w:r>
    </w:p>
    <w:p w14:paraId="CF000000">
      <w:pPr>
        <w:pStyle w:val="Style_8"/>
        <w:widowControl w:val="1"/>
        <w:numPr>
          <w:ilvl w:val="1"/>
          <w:numId w:val="8"/>
        </w:numPr>
        <w:tabs>
          <w:tab w:leader="none" w:pos="1134" w:val="left"/>
          <w:tab w:leader="none" w:pos="1276" w:val="left"/>
        </w:tabs>
        <w:ind w:firstLine="567" w:left="0"/>
        <w:jc w:val="both"/>
      </w:pPr>
      <w:r>
        <w:t>В соглашение подлежат включению следующие условия (информация):</w:t>
      </w:r>
    </w:p>
    <w:p w14:paraId="D0000000">
      <w:pPr>
        <w:widowControl w:val="1"/>
        <w:tabs>
          <w:tab w:leader="none" w:pos="1276" w:val="left"/>
        </w:tabs>
        <w:ind w:firstLine="567"/>
        <w:contextualSpacing w:val="1"/>
        <w:jc w:val="both"/>
      </w:pPr>
      <w:r>
        <w:t>о размере субсидии, а также порядке и условиях ее предоставления (перечисления);</w:t>
      </w:r>
    </w:p>
    <w:p w14:paraId="D1000000">
      <w:pPr>
        <w:widowControl w:val="1"/>
        <w:tabs>
          <w:tab w:leader="none" w:pos="1276" w:val="left"/>
        </w:tabs>
        <w:ind w:firstLine="567"/>
        <w:contextualSpacing w:val="1"/>
        <w:jc w:val="both"/>
      </w:pPr>
      <w:r>
        <w:t>о согласии получателя субсидии на осуществление в отношении него проверок соблюдения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268.1 и 269.2 Бюджетного кодекса Российской Федерации;</w:t>
      </w:r>
    </w:p>
    <w:p w14:paraId="D2000000">
      <w:pPr>
        <w:widowControl w:val="1"/>
        <w:tabs>
          <w:tab w:leader="none" w:pos="1276" w:val="left"/>
        </w:tabs>
        <w:ind w:firstLine="567"/>
        <w:contextualSpacing w:val="1"/>
        <w:jc w:val="both"/>
        <w:rPr>
          <w:strike w:val="1"/>
        </w:rPr>
      </w:pPr>
      <w:r>
        <w:t xml:space="preserve">о том, что в случае уменьшения размера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Распоряжении </w:t>
      </w:r>
      <w:r>
        <w:br/>
      </w:r>
      <w:r>
        <w:t xml:space="preserve">и соглашении, Комитет в течение пяти рабочих дней со дня возникновения указанного обстоятельства направляет получателю субсидии посредством АИС БП-ЭК проект дополнительного соглашения о согласовании новых условий соглашения </w:t>
      </w:r>
      <w:r>
        <w:br/>
      </w:r>
      <w:r>
        <w:t xml:space="preserve">или о расторжении соглашения при </w:t>
      </w:r>
      <w:r>
        <w:t>недостижении</w:t>
      </w:r>
      <w:r>
        <w:t xml:space="preserve"> согласия по новым условиям </w:t>
      </w:r>
      <w:r>
        <w:br/>
      </w:r>
      <w:r>
        <w:t xml:space="preserve">(далее – дополнительное соглашение). Порядок и сроки подписания дополнительного соглашения со стороны получателя субсидии, соответствуют порядку заключения соглашения, установленному в пункте 4.2 настоящего Порядка. В случае </w:t>
      </w:r>
      <w:r>
        <w:t>неподписания</w:t>
      </w:r>
      <w:r>
        <w:t xml:space="preserve"> </w:t>
      </w:r>
      <w:r>
        <w:br/>
      </w:r>
      <w:r>
        <w:t>со стороны получателя субсидии проекта дополнительного соглашения в установленный срок, соглашение подлежит расторжению в одностороннем порядке;</w:t>
      </w:r>
    </w:p>
    <w:p w14:paraId="D3000000">
      <w:pPr>
        <w:widowControl w:val="1"/>
        <w:tabs>
          <w:tab w:leader="none" w:pos="1276" w:val="left"/>
        </w:tabs>
        <w:ind w:firstLine="567"/>
        <w:contextualSpacing w:val="1"/>
        <w:jc w:val="both"/>
      </w:pPr>
      <w: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br/>
      </w:r>
      <w:r>
        <w:t xml:space="preserve">к нему дополнительного соглашения в части перемены лица в обязательстве с указанием </w:t>
      </w:r>
      <w:r>
        <w:br/>
      </w:r>
      <w:r>
        <w:t>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w:t>
      </w:r>
    </w:p>
    <w:p w14:paraId="D4000000">
      <w:pPr>
        <w:widowControl w:val="1"/>
        <w:numPr>
          <w:ilvl w:val="1"/>
          <w:numId w:val="8"/>
        </w:numPr>
        <w:tabs>
          <w:tab w:leader="none" w:pos="1134" w:val="left"/>
        </w:tabs>
        <w:ind w:firstLine="567" w:left="0"/>
        <w:contextualSpacing w:val="1"/>
        <w:jc w:val="both"/>
        <w:rPr>
          <w:spacing w:val="-6"/>
        </w:rPr>
      </w:pPr>
      <w:r>
        <w:rPr>
          <w:spacing w:val="-6"/>
        </w:rPr>
        <w:t xml:space="preserve">Субсидия перечисляется Комитетом получателю субсидии единовременно </w:t>
      </w:r>
      <w:r>
        <w:rPr>
          <w:spacing w:val="-6"/>
        </w:rPr>
        <w:br/>
      </w:r>
      <w:r>
        <w:rPr>
          <w:spacing w:val="-6"/>
        </w:rPr>
        <w:t>в течение 10 рабочих дней, следующих за днем заключения соглашения, на расчетный счет, открытый получателем субсидии в учреждениях Центрального банка Российской Федерации или кредитных организациях, указанный в соглашении, но не позднее 25.12.2025.</w:t>
      </w:r>
    </w:p>
    <w:p w14:paraId="D5000000">
      <w:pPr>
        <w:pStyle w:val="Style_8"/>
        <w:widowControl w:val="1"/>
        <w:numPr>
          <w:ilvl w:val="1"/>
          <w:numId w:val="8"/>
        </w:numPr>
        <w:tabs>
          <w:tab w:leader="none" w:pos="1134" w:val="left"/>
        </w:tabs>
        <w:ind w:firstLine="567" w:left="0"/>
        <w:jc w:val="both"/>
        <w:rPr>
          <w:color w:themeColor="text1" w:val="000000"/>
        </w:rPr>
      </w:pPr>
      <w:r>
        <w:rPr>
          <w:color w:themeColor="text1" w:val="000000"/>
        </w:rPr>
        <w:t xml:space="preserve">Размер субсидий рассчитывается по следующей формуле: </w:t>
      </w:r>
    </w:p>
    <w:p w14:paraId="D6000000">
      <w:pPr>
        <w:pStyle w:val="Style_9"/>
        <w:widowControl w:val="1"/>
        <w:ind w:firstLine="567"/>
        <w:jc w:val="both"/>
        <w:rPr>
          <w:color w:themeColor="text1" w:val="000000"/>
        </w:rPr>
      </w:pPr>
    </w:p>
    <w:p w14:paraId="D7000000">
      <w:pPr>
        <w:pStyle w:val="Style_9"/>
        <w:widowControl w:val="1"/>
        <w:ind/>
        <w:jc w:val="center"/>
        <w:rPr>
          <w:color w:themeColor="text1" w:val="000000"/>
        </w:rPr>
      </w:pPr>
      <w:r>
        <w:rPr>
          <w:color w:themeColor="text1" w:val="000000"/>
        </w:rPr>
        <w:t>Сс</w:t>
      </w:r>
      <w:r>
        <w:rPr>
          <w:color w:themeColor="text1" w:val="000000"/>
        </w:rPr>
        <w:t xml:space="preserve"> = ((А</w:t>
      </w:r>
      <w:r>
        <w:rPr>
          <w:color w:themeColor="text1" w:val="000000"/>
          <w:vertAlign w:val="subscript"/>
        </w:rPr>
        <w:t>1</w:t>
      </w:r>
      <w:r>
        <w:rPr>
          <w:color w:themeColor="text1" w:val="000000"/>
        </w:rPr>
        <w:t xml:space="preserve"> х B) + (А</w:t>
      </w:r>
      <w:r>
        <w:rPr>
          <w:color w:themeColor="text1" w:val="000000"/>
          <w:vertAlign w:val="subscript"/>
        </w:rPr>
        <w:t>2</w:t>
      </w:r>
      <w:r>
        <w:rPr>
          <w:color w:themeColor="text1" w:val="000000"/>
        </w:rPr>
        <w:t xml:space="preserve"> х B) +… (А</w:t>
      </w:r>
      <w:r>
        <w:rPr>
          <w:color w:themeColor="text1" w:val="000000"/>
          <w:vertAlign w:val="subscript"/>
        </w:rPr>
        <w:t>п</w:t>
      </w:r>
      <w:r>
        <w:rPr>
          <w:color w:themeColor="text1" w:val="000000"/>
        </w:rPr>
        <w:t xml:space="preserve"> х B)) × 33,3 %; </w:t>
      </w:r>
      <w:r>
        <w:rPr>
          <w:color w:themeColor="text1" w:val="000000"/>
        </w:rPr>
        <w:br/>
      </w:r>
      <w:r>
        <w:rPr>
          <w:color w:themeColor="text1" w:val="000000"/>
        </w:rPr>
        <w:t>&lt;= 10 тыс. руб. в месяц на одного сотрудника из другого региона</w:t>
      </w:r>
    </w:p>
    <w:p w14:paraId="D8000000">
      <w:pPr>
        <w:pStyle w:val="Style_9"/>
        <w:widowControl w:val="1"/>
        <w:ind/>
        <w:jc w:val="center"/>
        <w:rPr>
          <w:color w:themeColor="text1" w:val="000000"/>
        </w:rPr>
      </w:pPr>
    </w:p>
    <w:p w14:paraId="D9000000">
      <w:pPr>
        <w:pStyle w:val="Style_9"/>
        <w:widowControl w:val="1"/>
        <w:ind/>
        <w:jc w:val="center"/>
        <w:rPr>
          <w:color w:themeColor="text1" w:val="000000"/>
        </w:rPr>
      </w:pPr>
      <w:r>
        <w:rPr>
          <w:color w:themeColor="text1" w:val="000000"/>
        </w:rPr>
        <w:t xml:space="preserve">(при этом </w:t>
      </w:r>
      <w:r>
        <w:rPr>
          <w:color w:themeColor="text1" w:val="000000"/>
        </w:rPr>
        <w:t>Сс</w:t>
      </w:r>
      <w:r>
        <w:rPr>
          <w:color w:themeColor="text1" w:val="000000"/>
        </w:rPr>
        <w:t xml:space="preserve"> &lt;= </w:t>
      </w:r>
      <w:r>
        <w:rPr>
          <w:color w:themeColor="text1" w:val="000000"/>
        </w:rPr>
        <w:t>Сз</w:t>
      </w:r>
      <w:r>
        <w:rPr>
          <w:color w:themeColor="text1" w:val="000000"/>
        </w:rPr>
        <w:t>),</w:t>
      </w:r>
    </w:p>
    <w:p w14:paraId="DA000000">
      <w:pPr>
        <w:pStyle w:val="Style_9"/>
        <w:widowControl w:val="1"/>
        <w:ind w:firstLine="567"/>
        <w:jc w:val="both"/>
        <w:rPr>
          <w:color w:themeColor="text1" w:val="000000"/>
        </w:rPr>
      </w:pPr>
    </w:p>
    <w:p w14:paraId="DB000000">
      <w:pPr>
        <w:pStyle w:val="Style_9"/>
        <w:widowControl w:val="1"/>
        <w:ind w:firstLine="567"/>
        <w:jc w:val="both"/>
        <w:rPr>
          <w:color w:themeColor="text1" w:val="000000"/>
        </w:rPr>
      </w:pPr>
      <w:r>
        <w:rPr>
          <w:color w:themeColor="text1" w:val="000000"/>
        </w:rPr>
        <w:t>где:</w:t>
      </w:r>
    </w:p>
    <w:p w14:paraId="DC000000">
      <w:pPr>
        <w:pStyle w:val="Style_9"/>
        <w:widowControl w:val="1"/>
        <w:ind w:firstLine="567"/>
        <w:jc w:val="both"/>
        <w:rPr>
          <w:color w:themeColor="text1" w:val="000000"/>
        </w:rPr>
      </w:pPr>
      <w:r>
        <w:rPr>
          <w:color w:themeColor="text1" w:val="000000"/>
        </w:rPr>
        <w:t>Сс</w:t>
      </w:r>
      <w:r>
        <w:rPr>
          <w:color w:themeColor="text1" w:val="000000"/>
        </w:rPr>
        <w:t xml:space="preserve"> – размер предоставляемой субсидии, но не более 12 млн. руб.;</w:t>
      </w:r>
    </w:p>
    <w:p w14:paraId="DD000000">
      <w:pPr>
        <w:pStyle w:val="Style_9"/>
        <w:widowControl w:val="1"/>
        <w:ind w:firstLine="567"/>
        <w:jc w:val="both"/>
        <w:rPr>
          <w:color w:themeColor="text1" w:val="000000"/>
        </w:rPr>
      </w:pPr>
      <w:r>
        <w:rPr>
          <w:color w:themeColor="text1" w:val="000000"/>
        </w:rPr>
        <w:t>Сз</w:t>
      </w:r>
      <w:r>
        <w:rPr>
          <w:color w:themeColor="text1" w:val="000000"/>
        </w:rPr>
        <w:t xml:space="preserve"> – размер субсидии согласно заявке;</w:t>
      </w:r>
    </w:p>
    <w:p w14:paraId="DE000000">
      <w:pPr>
        <w:pStyle w:val="Style_9"/>
        <w:widowControl w:val="1"/>
        <w:ind w:firstLine="567"/>
        <w:jc w:val="both"/>
        <w:rPr>
          <w:color w:themeColor="text1" w:val="000000"/>
        </w:rPr>
      </w:pPr>
      <w:r>
        <w:rPr>
          <w:color w:themeColor="text1" w:val="000000"/>
        </w:rPr>
        <w:t>А</w:t>
      </w:r>
      <w:r>
        <w:rPr>
          <w:color w:themeColor="text1" w:val="000000"/>
          <w:vertAlign w:val="subscript"/>
        </w:rPr>
        <w:t>1</w:t>
      </w:r>
      <w:r>
        <w:rPr>
          <w:color w:themeColor="text1" w:val="000000"/>
        </w:rPr>
        <w:t>, А</w:t>
      </w:r>
      <w:r>
        <w:rPr>
          <w:color w:themeColor="text1" w:val="000000"/>
          <w:vertAlign w:val="subscript"/>
        </w:rPr>
        <w:t xml:space="preserve">2, </w:t>
      </w:r>
      <w:r>
        <w:rPr>
          <w:color w:themeColor="text1" w:val="000000"/>
        </w:rPr>
        <w:t>…А</w:t>
      </w:r>
      <w:r>
        <w:rPr>
          <w:color w:themeColor="text1" w:val="000000"/>
          <w:vertAlign w:val="subscript"/>
        </w:rPr>
        <w:t xml:space="preserve">п </w:t>
      </w:r>
      <w:r>
        <w:rPr>
          <w:color w:themeColor="text1" w:val="000000"/>
        </w:rPr>
        <w:t xml:space="preserve">– документально подтвержденные затраты за наем и(или) аренду жилого помещения на одного сотрудника из другого региона в месяц в соответствии </w:t>
      </w:r>
      <w:r>
        <w:rPr>
          <w:color w:themeColor="text1" w:val="000000"/>
        </w:rPr>
        <w:br/>
      </w:r>
      <w:r>
        <w:rPr>
          <w:color w:themeColor="text1" w:val="000000"/>
        </w:rPr>
        <w:t>с направлениями затрат, определенными в пункте 1.6 настоящего Порядка;</w:t>
      </w:r>
    </w:p>
    <w:p w14:paraId="DF000000">
      <w:pPr>
        <w:widowControl w:val="1"/>
        <w:ind w:firstLine="567"/>
        <w:jc w:val="both"/>
        <w:rPr>
          <w:i w:val="1"/>
          <w:color w:themeColor="text1" w:val="000000"/>
        </w:rPr>
      </w:pPr>
      <w:r>
        <w:rPr>
          <w:color w:themeColor="text1" w:val="000000"/>
        </w:rPr>
        <w:t>В – количество месяцев найма и(или) аренды жилого помещения.</w:t>
      </w:r>
    </w:p>
    <w:p w14:paraId="E0000000">
      <w:pPr>
        <w:widowControl w:val="1"/>
        <w:ind w:firstLine="567"/>
        <w:jc w:val="both"/>
        <w:rPr>
          <w:color w:themeColor="text1" w:val="000000"/>
        </w:rPr>
      </w:pPr>
      <w:r>
        <w:rPr>
          <w:color w:themeColor="text1" w:val="000000"/>
        </w:rPr>
        <w:t>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 в заявке.</w:t>
      </w:r>
    </w:p>
    <w:p w14:paraId="E1000000">
      <w:pPr>
        <w:widowControl w:val="1"/>
        <w:numPr>
          <w:ilvl w:val="1"/>
          <w:numId w:val="8"/>
        </w:numPr>
        <w:tabs>
          <w:tab w:leader="none" w:pos="1134" w:val="left"/>
        </w:tabs>
        <w:ind w:firstLine="567" w:left="0"/>
        <w:contextualSpacing w:val="1"/>
        <w:jc w:val="both"/>
      </w:pPr>
      <w:r>
        <w:t xml:space="preserve">Типом результата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w:t>
      </w:r>
      <w:r>
        <w:br/>
      </w:r>
      <w:r>
        <w:t>от 27.04.2024 № 53н, являются выплаты физическим лицам.</w:t>
      </w:r>
    </w:p>
    <w:p w14:paraId="E2000000">
      <w:pPr>
        <w:widowControl w:val="1"/>
        <w:ind w:firstLine="567"/>
        <w:jc w:val="both"/>
      </w:pPr>
      <w:r>
        <w:t xml:space="preserve">Результатом является обеспечение жильем трудоустроенных у субъектов ДСП сотрудников из других регионов посредством заключения договоров найма жилых помещений и(или) договоров аренды жилых помещений, находящихся на территории </w:t>
      </w:r>
      <w:r>
        <w:br/>
      </w:r>
      <w:r>
        <w:t xml:space="preserve">Санкт-Петербурга, в рамках поддержки сферы промышленности в Санкт-Петербурге </w:t>
      </w:r>
      <w:r>
        <w:br/>
      </w:r>
      <w:r>
        <w:t xml:space="preserve">за счет сохранения кадрового потенциала получателей субсидий, в соответствии </w:t>
      </w:r>
      <w:r>
        <w:br/>
      </w:r>
      <w:r>
        <w:t>с характеристикой.</w:t>
      </w:r>
    </w:p>
    <w:p w14:paraId="E3000000">
      <w:pPr>
        <w:pStyle w:val="Style_8"/>
        <w:widowControl w:val="1"/>
        <w:numPr>
          <w:ilvl w:val="1"/>
          <w:numId w:val="8"/>
        </w:numPr>
        <w:tabs>
          <w:tab w:leader="none" w:pos="1134" w:val="left"/>
        </w:tabs>
        <w:ind w:firstLine="567" w:left="0"/>
        <w:jc w:val="both"/>
        <w:rPr>
          <w:color w:themeColor="text1" w:val="000000"/>
        </w:rPr>
      </w:pPr>
      <w:r>
        <w:rPr>
          <w:color w:themeColor="text1" w:val="000000"/>
        </w:rPr>
        <w:t>Характеристикой является сохранение среднесписочной численности работников получателя субсидий на уровне не менее</w:t>
      </w:r>
      <w:r>
        <w:rPr>
          <w:color w:themeColor="text1" w:val="000000"/>
        </w:rPr>
        <w:t xml:space="preserve"> 80 процентов </w:t>
      </w:r>
      <w:r>
        <w:rPr>
          <w:color w:themeColor="text1" w:val="000000"/>
        </w:rPr>
        <w:t>от среднесписочной численности работников получателя субсидий в 2024 году.</w:t>
      </w:r>
    </w:p>
    <w:p w14:paraId="E4000000">
      <w:pPr>
        <w:widowControl w:val="1"/>
        <w:tabs>
          <w:tab w:leader="none" w:pos="1134" w:val="left"/>
        </w:tabs>
        <w:ind w:firstLine="567"/>
        <w:jc w:val="both"/>
        <w:rPr>
          <w:color w:themeColor="text1" w:val="000000"/>
        </w:rPr>
      </w:pPr>
      <w:r>
        <w:rPr>
          <w:color w:themeColor="text1" w:val="000000"/>
        </w:rPr>
        <w:t xml:space="preserve">Значение характеристики для каждого получателя субсидий устанавливается </w:t>
      </w:r>
      <w:r>
        <w:rPr>
          <w:color w:themeColor="text1" w:val="000000"/>
        </w:rPr>
        <w:br/>
      </w:r>
      <w:r>
        <w:rPr>
          <w:color w:themeColor="text1" w:val="000000"/>
        </w:rPr>
        <w:t>в соглашении.</w:t>
      </w:r>
    </w:p>
    <w:p w14:paraId="E5000000">
      <w:pPr>
        <w:widowControl w:val="1"/>
        <w:tabs>
          <w:tab w:leader="none" w:pos="1134" w:val="left"/>
        </w:tabs>
        <w:ind w:firstLine="567"/>
        <w:jc w:val="both"/>
        <w:rPr>
          <w:color w:themeColor="text1" w:val="000000"/>
        </w:rPr>
      </w:pPr>
    </w:p>
    <w:p w14:paraId="E6000000">
      <w:pPr>
        <w:pStyle w:val="Style_8"/>
        <w:widowControl w:val="0"/>
        <w:numPr>
          <w:ilvl w:val="0"/>
          <w:numId w:val="8"/>
        </w:numPr>
        <w:ind w:firstLine="0" w:left="0"/>
        <w:jc w:val="center"/>
        <w:rPr>
          <w:b w:val="1"/>
          <w:color w:themeColor="text1" w:val="000000"/>
        </w:rPr>
      </w:pPr>
      <w:r>
        <w:rPr>
          <w:b w:val="1"/>
          <w:color w:themeColor="text1" w:val="000000"/>
        </w:rPr>
        <w:t>Требования к предоставлению отчетности</w:t>
      </w:r>
    </w:p>
    <w:p w14:paraId="E7000000">
      <w:pPr>
        <w:pStyle w:val="Style_8"/>
        <w:widowControl w:val="1"/>
        <w:tabs>
          <w:tab w:leader="none" w:pos="1134" w:val="left"/>
        </w:tabs>
        <w:ind w:firstLine="567" w:left="0"/>
        <w:rPr>
          <w:b w:val="1"/>
          <w:color w:themeColor="text1" w:val="000000"/>
        </w:rPr>
      </w:pPr>
    </w:p>
    <w:p w14:paraId="E8000000">
      <w:pPr>
        <w:widowControl w:val="0"/>
        <w:tabs>
          <w:tab w:leader="none" w:pos="1134" w:val="left"/>
        </w:tabs>
        <w:ind w:firstLine="567"/>
        <w:jc w:val="center"/>
        <w:outlineLvl w:val="0"/>
        <w:rPr>
          <w:color w:themeColor="text1" w:val="000000"/>
          <w:sz w:val="2"/>
        </w:rPr>
      </w:pPr>
    </w:p>
    <w:p w14:paraId="E9000000">
      <w:pPr>
        <w:pStyle w:val="Style_8"/>
        <w:widowControl w:val="1"/>
        <w:numPr>
          <w:ilvl w:val="1"/>
          <w:numId w:val="9"/>
        </w:numPr>
        <w:tabs>
          <w:tab w:leader="none" w:pos="993" w:val="left"/>
          <w:tab w:leader="none" w:pos="1134" w:val="left"/>
        </w:tabs>
        <w:ind w:firstLine="567" w:left="0"/>
        <w:jc w:val="both"/>
        <w:rPr>
          <w:i w:val="1"/>
        </w:rPr>
      </w:pPr>
      <w:r>
        <w:t xml:space="preserve">Получатели субсидий по итогам 2025 года не позднее 30.04.2026 представляют </w:t>
      </w:r>
      <w:r>
        <w:br/>
      </w:r>
      <w:r>
        <w:t xml:space="preserve">через АИС БП-ЭК </w:t>
      </w:r>
      <w:r>
        <w:fldChar w:fldCharType="begin"/>
      </w:r>
      <w:r>
        <w:instrText>HYPERLINK "consultantplus://offline/ref=BDD656285314B154753ED69A46A6DD319B813F758497ED6B6BAC4AD185648953A0EC14B29F5D6CA2618C974E80CC5F428C0952D4ECF94362zB76G"</w:instrText>
      </w:r>
      <w:r>
        <w:fldChar w:fldCharType="separate"/>
      </w:r>
      <w:r>
        <w:t>отчет</w:t>
      </w:r>
      <w:r>
        <w:fldChar w:fldCharType="end"/>
      </w:r>
      <w:r>
        <w:t xml:space="preserve"> о достижении значений результата и характеристик по формам, определенным Типовой формой (далее – отчетность), а также при наличии технической возможности отчетные документы, перечень которых и требования к которым установлены в приложении № 3 к настоящему Порядку (далее – отчетные документы). </w:t>
      </w:r>
    </w:p>
    <w:p w14:paraId="EA000000">
      <w:pPr>
        <w:pStyle w:val="Style_8"/>
        <w:widowControl w:val="1"/>
        <w:numPr>
          <w:ilvl w:val="1"/>
          <w:numId w:val="9"/>
        </w:numPr>
        <w:tabs>
          <w:tab w:leader="none" w:pos="993" w:val="left"/>
          <w:tab w:leader="none" w:pos="1134" w:val="left"/>
        </w:tabs>
        <w:ind w:firstLine="567" w:left="0"/>
        <w:jc w:val="both"/>
        <w:rPr>
          <w:i w:val="1"/>
        </w:rPr>
      </w:pPr>
      <w:r>
        <w:t xml:space="preserve">Требования к оформлению отчетности (за исключением форм отчетности) </w:t>
      </w:r>
      <w:r>
        <w:br/>
      </w:r>
      <w:r>
        <w:t xml:space="preserve">и отчетных документов установлены в пункте 2 приложения № 3 к настоящему Порядку. </w:t>
      </w:r>
    </w:p>
    <w:p w14:paraId="EB000000">
      <w:pPr>
        <w:pStyle w:val="Style_8"/>
        <w:widowControl w:val="1"/>
        <w:numPr>
          <w:ilvl w:val="1"/>
          <w:numId w:val="9"/>
        </w:numPr>
        <w:tabs>
          <w:tab w:leader="none" w:pos="993" w:val="left"/>
          <w:tab w:leader="none" w:pos="1134" w:val="left"/>
        </w:tabs>
        <w:ind w:firstLine="567" w:left="0"/>
        <w:jc w:val="both"/>
        <w:rPr>
          <w:i w:val="1"/>
        </w:rPr>
      </w:pPr>
      <w:r>
        <w:t>Отчетность и отчетные документы должны быть заверены подписью руководителя организации.  При представлении отчетности и отчетных документов иным уполномоченным лицом представляется уполномочивающий документ.</w:t>
      </w:r>
    </w:p>
    <w:p w14:paraId="EC000000">
      <w:pPr>
        <w:pStyle w:val="Style_8"/>
        <w:widowControl w:val="1"/>
        <w:numPr>
          <w:ilvl w:val="1"/>
          <w:numId w:val="9"/>
        </w:numPr>
        <w:tabs>
          <w:tab w:leader="none" w:pos="993" w:val="left"/>
          <w:tab w:leader="none" w:pos="1134" w:val="left"/>
        </w:tabs>
        <w:ind w:firstLine="567" w:left="0"/>
        <w:jc w:val="both"/>
      </w:pPr>
      <w:r>
        <w:t xml:space="preserve">При инициировании в отношении получателя субсидии процедуры банкротства </w:t>
      </w:r>
      <w:r>
        <w:br/>
      </w:r>
      <w:r>
        <w:t xml:space="preserve">до установленного срока представления отчетности направление ее в Комитет </w:t>
      </w:r>
      <w:r>
        <w:br/>
      </w:r>
      <w:r>
        <w:t xml:space="preserve">(с приложением отчетных документов) осуществляется получателем субсидии не позднее </w:t>
      </w:r>
      <w:r>
        <w:br/>
      </w:r>
      <w:r>
        <w:t xml:space="preserve">15 рабочих дней со дня вынесения арбитражным судом определения о принятии </w:t>
      </w:r>
      <w:r>
        <w:br/>
      </w:r>
      <w:r>
        <w:t>к производству заявления о признании получателя субсидии банкротом. Отчетность</w:t>
      </w:r>
      <w:r>
        <w:br/>
      </w:r>
      <w:r>
        <w:t xml:space="preserve">и отчетные документы направляются с сопроводительным письмом, содержащим информацию о данном обстоятельстве. </w:t>
      </w:r>
    </w:p>
    <w:p w14:paraId="ED000000">
      <w:pPr>
        <w:pStyle w:val="Style_8"/>
        <w:widowControl w:val="1"/>
        <w:numPr>
          <w:ilvl w:val="1"/>
          <w:numId w:val="9"/>
        </w:numPr>
        <w:tabs>
          <w:tab w:leader="none" w:pos="993" w:val="left"/>
          <w:tab w:leader="none" w:pos="1134" w:val="left"/>
        </w:tabs>
        <w:ind w:firstLine="567" w:left="0"/>
        <w:jc w:val="both"/>
        <w:rPr>
          <w:i w:val="1"/>
        </w:rPr>
      </w:pPr>
      <w:r>
        <w:t xml:space="preserve">Проверка отчетности и отчетных документов осуществляется Отделом в течение </w:t>
      </w:r>
      <w:r>
        <w:br/>
      </w:r>
      <w:r>
        <w:t xml:space="preserve">30 рабочих дней со дня их поступления через АИС БК-ЭК в порядке, определенном </w:t>
      </w:r>
      <w:r>
        <w:br/>
      </w:r>
      <w:r>
        <w:t>в пункте 3 приложения № 3 к настоящему Порядку.</w:t>
      </w:r>
    </w:p>
    <w:p w14:paraId="EE000000">
      <w:pPr>
        <w:pStyle w:val="Style_8"/>
        <w:widowControl w:val="1"/>
        <w:tabs>
          <w:tab w:leader="none" w:pos="993" w:val="left"/>
          <w:tab w:leader="none" w:pos="1134" w:val="left"/>
        </w:tabs>
        <w:ind w:firstLine="567" w:left="0"/>
        <w:jc w:val="both"/>
      </w:pPr>
      <w:r>
        <w:t xml:space="preserve">Результаты проверки отчетности отражаются в акте, составляемом в соответствии </w:t>
      </w:r>
      <w:r>
        <w:br/>
      </w:r>
      <w:r>
        <w:t>с пунктом 6.2 настоящего Порядка. После подписания указанного акта проверенная отчетность подлежит подписанию или возврату на доработку в АИС БП-ЭК со стороны Комитета.</w:t>
      </w:r>
    </w:p>
    <w:p w14:paraId="EF000000">
      <w:pPr>
        <w:pStyle w:val="Style_8"/>
        <w:widowControl w:val="0"/>
        <w:numPr>
          <w:ilvl w:val="0"/>
          <w:numId w:val="8"/>
        </w:numPr>
        <w:ind w:firstLine="0" w:left="0"/>
        <w:jc w:val="center"/>
        <w:rPr>
          <w:b w:val="1"/>
          <w:color w:themeColor="text1" w:val="000000"/>
        </w:rPr>
      </w:pPr>
      <w:r>
        <w:rPr>
          <w:b w:val="1"/>
          <w:color w:themeColor="text1" w:val="000000"/>
        </w:rPr>
        <w:t xml:space="preserve">Требования об осуществлении контроля (мониторинга) за соблюдением </w:t>
      </w:r>
    </w:p>
    <w:p w14:paraId="F0000000">
      <w:pPr>
        <w:pStyle w:val="Style_8"/>
        <w:widowControl w:val="0"/>
        <w:ind w:left="0"/>
        <w:jc w:val="center"/>
        <w:rPr>
          <w:b w:val="1"/>
          <w:color w:themeColor="text1" w:val="000000"/>
        </w:rPr>
      </w:pPr>
      <w:r>
        <w:rPr>
          <w:b w:val="1"/>
          <w:color w:themeColor="text1" w:val="000000"/>
        </w:rPr>
        <w:t xml:space="preserve">условий и порядка предоставления субсидий, </w:t>
      </w:r>
    </w:p>
    <w:p w14:paraId="F1000000">
      <w:pPr>
        <w:pStyle w:val="Style_8"/>
        <w:widowControl w:val="0"/>
        <w:ind w:left="0"/>
        <w:jc w:val="center"/>
        <w:rPr>
          <w:b w:val="1"/>
          <w:color w:themeColor="text1" w:val="000000"/>
        </w:rPr>
      </w:pPr>
      <w:r>
        <w:rPr>
          <w:b w:val="1"/>
          <w:color w:themeColor="text1" w:val="000000"/>
        </w:rPr>
        <w:t>ответственность за их нарушение</w:t>
      </w:r>
    </w:p>
    <w:p w14:paraId="F2000000">
      <w:pPr>
        <w:widowControl w:val="1"/>
        <w:tabs>
          <w:tab w:leader="none" w:pos="426" w:val="left"/>
        </w:tabs>
        <w:ind w:firstLine="709"/>
        <w:jc w:val="both"/>
        <w:rPr>
          <w:color w:themeColor="text1" w:val="000000"/>
        </w:rPr>
      </w:pPr>
    </w:p>
    <w:p w14:paraId="F300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Отдел в рамках проверки отчетности и отчетных документов, срок проведения которой установлен в пункте 5.5 настоящего Порядка, осуществляет проверку соблюдения условий и порядка предоставления субсидии, в том числе в части достижения получателем субсидии результата. </w:t>
      </w:r>
    </w:p>
    <w:p w14:paraId="F4000000">
      <w:pPr>
        <w:pStyle w:val="Style_8"/>
        <w:widowControl w:val="0"/>
        <w:tabs>
          <w:tab w:leader="none" w:pos="1134" w:val="left"/>
        </w:tabs>
        <w:ind w:firstLine="567" w:left="0"/>
        <w:jc w:val="both"/>
        <w:rPr>
          <w:color w:themeColor="text1" w:val="000000"/>
        </w:rPr>
      </w:pPr>
      <w:r>
        <w:rPr>
          <w:color w:themeColor="text1" w:val="000000"/>
        </w:rPr>
        <w:t xml:space="preserve">В случае непредставления получателем субсидии отчетности и отчетных документов, </w:t>
      </w:r>
      <w:r>
        <w:rPr>
          <w:color w:themeColor="text1" w:val="000000"/>
        </w:rPr>
        <w:br/>
      </w:r>
      <w:r>
        <w:rPr>
          <w:color w:themeColor="text1" w:val="000000"/>
        </w:rPr>
        <w:t xml:space="preserve">в срок, установленный в пункте 5.1 настоящего Порядка, проверка соблюдения условий </w:t>
      </w:r>
      <w:r>
        <w:rPr>
          <w:color w:themeColor="text1" w:val="000000"/>
        </w:rPr>
        <w:br/>
      </w:r>
      <w:r>
        <w:rPr>
          <w:color w:themeColor="text1" w:val="000000"/>
        </w:rPr>
        <w:t xml:space="preserve">и порядка предоставления субсидии осуществляется в течение 15 рабочих дней </w:t>
      </w:r>
      <w:r>
        <w:rPr>
          <w:color w:themeColor="text1" w:val="000000"/>
        </w:rPr>
        <w:br/>
      </w:r>
      <w:r>
        <w:rPr>
          <w:color w:themeColor="text1" w:val="000000"/>
        </w:rPr>
        <w:t xml:space="preserve">со дня истечения указанного срока (аналогичный срок проведения указанной проверки устанавливается при </w:t>
      </w:r>
      <w:r>
        <w:rPr>
          <w:color w:themeColor="text1" w:val="000000"/>
        </w:rPr>
        <w:t>непредоставлении</w:t>
      </w:r>
      <w:r>
        <w:rPr>
          <w:color w:themeColor="text1" w:val="000000"/>
        </w:rPr>
        <w:t xml:space="preserve"> получателем субсидии отчетности и отчетных документов в срок, установленный в пункте 5.4 настоящего Порядка,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 </w:t>
      </w:r>
    </w:p>
    <w:p w14:paraId="F500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По результатам проверки соблюдения условий и порядка предоставления субсидии составляется акт проведения проверки (далее – акт), составление и подписание которого должно быть осуществлено не позднее пяти рабочих дней со дня окончания срока проверки. Копия акта в течение пяти рабочих дней после подписания подлежит направлению в Комитет государственного финансового контроля Санкт-Петербурга </w:t>
      </w:r>
      <w:r>
        <w:rPr>
          <w:color w:themeColor="text1" w:val="000000"/>
        </w:rPr>
        <w:t>(далее – КГФК).</w:t>
      </w:r>
    </w:p>
    <w:p w14:paraId="F600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В случае </w:t>
      </w:r>
      <w:r>
        <w:t xml:space="preserve">выявления при проведении проверки соблюдения условий и порядка предоставления субсидии нарушений получателем субсидии условий и(или) порядка предоставления субсидии (далее – нарушения) Комитет не позднее трех рабочих дней </w:t>
      </w:r>
      <w:r>
        <w:br/>
      </w:r>
      <w:r>
        <w:t xml:space="preserve">с даты подписания акта направляет получателю субсидии на адрес электронной почты, указанный в заявлении, уведомление о нарушениях, в котором указываются выявленные нарушения и сроки для их устранения, которые не должны превышать 20 рабочих дней </w:t>
      </w:r>
      <w:r>
        <w:br/>
      </w:r>
      <w:r>
        <w:t>с даты направления указанного уведомления.</w:t>
      </w:r>
    </w:p>
    <w:p w14:paraId="F7000000">
      <w:pPr>
        <w:pStyle w:val="Style_8"/>
        <w:widowControl w:val="0"/>
        <w:tabs>
          <w:tab w:leader="none" w:pos="1134" w:val="left"/>
        </w:tabs>
        <w:ind w:firstLine="567" w:left="0"/>
        <w:jc w:val="both"/>
        <w:rPr>
          <w:color w:themeColor="text1" w:val="000000"/>
        </w:rPr>
      </w:pPr>
      <w:r>
        <w:rPr>
          <w:color w:themeColor="text1" w:val="000000"/>
        </w:rPr>
        <w:t>Выявленные нарушения должны быть</w:t>
      </w:r>
      <w:bookmarkStart w:id="1" w:name="_GoBack"/>
      <w:bookmarkEnd w:id="1"/>
      <w:r>
        <w:rPr>
          <w:color w:themeColor="text1" w:val="000000"/>
        </w:rPr>
        <w:t xml:space="preserve"> устранены получателем субсидии в срок, установленный в уведомлении о нарушениях.</w:t>
      </w:r>
    </w:p>
    <w:p w14:paraId="F8000000">
      <w:pPr>
        <w:widowControl w:val="1"/>
        <w:tabs>
          <w:tab w:leader="none" w:pos="1134" w:val="left"/>
        </w:tabs>
        <w:ind w:firstLine="567"/>
        <w:jc w:val="both"/>
        <w:rPr>
          <w:color w:themeColor="text1" w:val="000000"/>
        </w:rPr>
      </w:pPr>
      <w:r>
        <w:rPr>
          <w:color w:themeColor="text1" w:val="000000"/>
        </w:rPr>
        <w:t xml:space="preserve">В случае, если при проведении проверки соблюдения условий и порядка предоставления субсидии невозможно установить наличие или отсутствие нарушений </w:t>
      </w:r>
      <w:r>
        <w:rPr>
          <w:color w:themeColor="text1" w:val="000000"/>
        </w:rPr>
        <w:br/>
      </w:r>
      <w:r>
        <w:rPr>
          <w:color w:themeColor="text1" w:val="000000"/>
        </w:rPr>
        <w:t xml:space="preserve">в связи с имеющимися замечаниями к отчетности и(или) отчетным документам </w:t>
      </w:r>
      <w:r>
        <w:rPr>
          <w:color w:themeColor="text1" w:val="000000"/>
        </w:rPr>
        <w:br/>
      </w:r>
      <w:r>
        <w:rPr>
          <w:color w:themeColor="text1" w:val="000000"/>
        </w:rPr>
        <w:t xml:space="preserve">(далее – замечания), Комитет направляет получателю субсидии уведомление об имеющихся замечаниях (далее – уведомление о замечаниях), в котором указываются замечания и сроки для их устранения, а также сроки для повторной подачи отчетности с приложением отчетных документов (при необходимости). После устранения замечаний и(или) повторной подачи отчетности Комитет проводит повторную проверку соблюдения условий и порядка предоставления субсидии в срок, установленный в пункте 5.5 настоящего Порядка. </w:t>
      </w:r>
    </w:p>
    <w:p w14:paraId="F9000000">
      <w:pPr>
        <w:widowControl w:val="1"/>
        <w:tabs>
          <w:tab w:leader="none" w:pos="1134" w:val="left"/>
        </w:tabs>
        <w:ind w:firstLine="567"/>
        <w:jc w:val="both"/>
        <w:rPr>
          <w:color w:themeColor="text1" w:val="000000"/>
        </w:rPr>
      </w:pPr>
      <w:r>
        <w:rPr>
          <w:color w:themeColor="text1" w:val="000000"/>
        </w:rPr>
        <w:t>Копия уведомления о нарушениях (уведомления о замечаниях) в течение пяти рабочих дней с даты подписания направляется Комитетом в КГФК.</w:t>
      </w:r>
    </w:p>
    <w:p w14:paraId="FA00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В случае </w:t>
      </w:r>
      <w:r>
        <w:rPr>
          <w:color w:themeColor="text1" w:val="000000"/>
        </w:rPr>
        <w:t>неустранения</w:t>
      </w:r>
      <w:r>
        <w:rPr>
          <w:color w:themeColor="text1" w:val="000000"/>
        </w:rPr>
        <w:t xml:space="preserve"> получателем субсидии нарушений (замечаний) в сроки, установленные в уведомлении о нарушениях (уведомлении о замечаниях), Комитет </w:t>
      </w:r>
      <w:r>
        <w:rPr>
          <w:color w:themeColor="text1" w:val="000000"/>
        </w:rPr>
        <w:br/>
      </w:r>
      <w:r>
        <w:rPr>
          <w:color w:themeColor="text1" w:val="000000"/>
        </w:rPr>
        <w:t xml:space="preserve">в течение пяти рабочих дней со дня истечения указанных сроков принимает решение </w:t>
      </w:r>
      <w:r>
        <w:rPr>
          <w:color w:themeColor="text1" w:val="000000"/>
        </w:rPr>
        <w:br/>
      </w:r>
      <w:r>
        <w:rPr>
          <w:color w:themeColor="text1" w:val="000000"/>
        </w:rPr>
        <w:t xml:space="preserve">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субсидии и в КГФК вместе с требованием к получателю субсидии, </w:t>
      </w:r>
      <w:r>
        <w:rPr>
          <w:color w:themeColor="text1" w:val="000000"/>
        </w:rPr>
        <w:br/>
      </w:r>
      <w:r>
        <w:rPr>
          <w:color w:themeColor="text1" w:val="000000"/>
        </w:rPr>
        <w:t>в котором предусматриваются:</w:t>
      </w:r>
    </w:p>
    <w:p w14:paraId="FB000000">
      <w:pPr>
        <w:widowControl w:val="0"/>
        <w:tabs>
          <w:tab w:leader="none" w:pos="1134" w:val="left"/>
        </w:tabs>
        <w:ind w:firstLine="567"/>
        <w:jc w:val="both"/>
        <w:rPr>
          <w:color w:themeColor="text1" w:val="000000"/>
        </w:rPr>
      </w:pPr>
      <w:r>
        <w:rPr>
          <w:color w:themeColor="text1" w:val="000000"/>
        </w:rPr>
        <w:t>подлежащая возврату в бюджет Санкт-Петербурга сумма средств субсидии, а также сроки ее возврата;</w:t>
      </w:r>
    </w:p>
    <w:p w14:paraId="FC000000">
      <w:pPr>
        <w:widowControl w:val="0"/>
        <w:tabs>
          <w:tab w:leader="none" w:pos="1134" w:val="left"/>
        </w:tabs>
        <w:ind w:firstLine="567"/>
        <w:jc w:val="both"/>
        <w:rPr>
          <w:color w:themeColor="text1" w:val="000000"/>
        </w:rPr>
      </w:pPr>
      <w:r>
        <w:rPr>
          <w:color w:themeColor="text1" w:val="000000"/>
        </w:rPr>
        <w:t>код бюджетной классификации Российской Федерации, по которому должен быть осуществлен возврат средств субсидии.</w:t>
      </w:r>
    </w:p>
    <w:p w14:paraId="FD00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В случае выявления при проведении проверки соблюдения условий и порядка предоставления субсидии </w:t>
      </w:r>
      <w:r>
        <w:rPr>
          <w:color w:themeColor="text1" w:val="000000"/>
        </w:rPr>
        <w:t>недостижения</w:t>
      </w:r>
      <w:r>
        <w:rPr>
          <w:color w:themeColor="text1" w:val="000000"/>
        </w:rPr>
        <w:t xml:space="preserve"> получателем субсидии результата Комитет одновременно с подписанием акта принимает решение в форме распоряжения о возврате </w:t>
      </w:r>
      <w:r>
        <w:rPr>
          <w:color w:themeColor="text1" w:val="000000"/>
        </w:rPr>
        <w:br/>
      </w:r>
      <w:r>
        <w:rPr>
          <w:color w:themeColor="text1" w:val="000000"/>
        </w:rPr>
        <w:t xml:space="preserve">в бюджет Санкт-Петербурга средств субсидии в объеме, соответствующем недостигнутому результату исходя из недостигнутых значений характеристики, рассчитанном </w:t>
      </w:r>
      <w:r>
        <w:rPr>
          <w:color w:themeColor="text1" w:val="000000"/>
        </w:rPr>
        <w:br/>
      </w:r>
      <w:r>
        <w:rPr>
          <w:color w:themeColor="text1" w:val="000000"/>
        </w:rPr>
        <w:t>в соответствии с пунктом 6.6 настоящего Порядка, и направляет копию указанного распоряжения получателю субсидии и в КГФК вместе с требованием к получателю субсидии, в котором предусматриваются:</w:t>
      </w:r>
    </w:p>
    <w:p w14:paraId="FE000000">
      <w:pPr>
        <w:widowControl w:val="0"/>
        <w:tabs>
          <w:tab w:leader="none" w:pos="1134" w:val="left"/>
        </w:tabs>
        <w:ind w:firstLine="567"/>
        <w:jc w:val="both"/>
        <w:rPr>
          <w:color w:themeColor="text1" w:val="000000"/>
        </w:rPr>
      </w:pPr>
      <w:r>
        <w:rPr>
          <w:color w:themeColor="text1" w:val="000000"/>
        </w:rPr>
        <w:t>подлежащая возврату в бюджет Санкт-Петербурга сумма средств субсидии, а также сроки ее возврата;</w:t>
      </w:r>
    </w:p>
    <w:p w14:paraId="FF000000">
      <w:pPr>
        <w:widowControl w:val="0"/>
        <w:tabs>
          <w:tab w:leader="none" w:pos="1134" w:val="left"/>
        </w:tabs>
        <w:ind w:firstLine="567"/>
        <w:jc w:val="both"/>
        <w:rPr>
          <w:color w:themeColor="text1" w:val="000000"/>
        </w:rPr>
      </w:pPr>
      <w:r>
        <w:rPr>
          <w:color w:themeColor="text1" w:val="000000"/>
        </w:rPr>
        <w:t>код бюджетной классификации, по которому должен быть осуществлен возврат средств субсидии.</w:t>
      </w:r>
    </w:p>
    <w:p w14:paraId="00010000">
      <w:pPr>
        <w:pStyle w:val="Style_8"/>
        <w:widowControl w:val="0"/>
        <w:numPr>
          <w:ilvl w:val="1"/>
          <w:numId w:val="8"/>
        </w:numPr>
        <w:tabs>
          <w:tab w:leader="none" w:pos="1134" w:val="left"/>
        </w:tabs>
        <w:ind w:firstLine="567" w:left="0"/>
        <w:jc w:val="both"/>
        <w:rPr>
          <w:color w:themeColor="text1" w:val="000000"/>
        </w:rPr>
      </w:pPr>
      <w:r>
        <w:rPr>
          <w:color w:themeColor="text1" w:val="000000"/>
        </w:rPr>
        <w:t xml:space="preserve">Размер суммы средств субсидии, подлежащей возврату в бюджет </w:t>
      </w:r>
      <w:r>
        <w:rPr>
          <w:color w:themeColor="text1" w:val="000000"/>
        </w:rPr>
        <w:br/>
      </w:r>
      <w:r>
        <w:rPr>
          <w:color w:themeColor="text1" w:val="000000"/>
        </w:rPr>
        <w:t xml:space="preserve">Санкт-Петербурга (Р) применительно к пункту 6.5 настоящего Порядка, рассчитывается </w:t>
      </w:r>
      <w:r>
        <w:rPr>
          <w:color w:themeColor="text1" w:val="000000"/>
        </w:rPr>
        <w:br/>
      </w:r>
      <w:r>
        <w:rPr>
          <w:color w:themeColor="text1" w:val="000000"/>
        </w:rPr>
        <w:t>по следующей формуле:</w:t>
      </w:r>
    </w:p>
    <w:p w14:paraId="01010000">
      <w:pPr>
        <w:widowControl w:val="0"/>
        <w:tabs>
          <w:tab w:leader="none" w:pos="1134" w:val="left"/>
        </w:tabs>
        <w:ind w:firstLine="567"/>
        <w:contextualSpacing w:val="1"/>
        <w:jc w:val="both"/>
        <w:rPr>
          <w:color w:themeColor="text1" w:val="000000"/>
        </w:rPr>
      </w:pPr>
    </w:p>
    <w:p w14:paraId="02010000">
      <w:pPr>
        <w:widowControl w:val="0"/>
        <w:tabs>
          <w:tab w:leader="none" w:pos="1134" w:val="left"/>
        </w:tabs>
        <w:ind/>
        <w:contextualSpacing w:val="1"/>
        <w:jc w:val="center"/>
        <w:rPr>
          <w:i w:val="1"/>
          <w:color w:themeColor="text1" w:val="000000"/>
        </w:rPr>
      </w:pPr>
      <w:r>
        <w:rPr>
          <w:i w:val="1"/>
          <w:color w:themeColor="text1" w:val="000000"/>
          <w:sz w:val="28"/>
        </w:rPr>
        <w:drawing>
          <wp:inline>
            <wp:extent cx="1454150" cy="573351"/>
            <wp:effectExtent b="0" l="0" r="0" t="0"/>
            <wp:docPr hidden="false" id="7" name="Picture 7"/>
            <a:graphic>
              <a:graphicData uri="http://schemas.openxmlformats.org/drawingml/2006/picture">
                <pic:pic>
                  <pic:nvPicPr>
                    <pic:cNvPr hidden="false" id="6" name="Picture 6"/>
                    <pic:cNvPicPr preferRelativeResize="true"/>
                  </pic:nvPicPr>
                  <pic:blipFill>
                    <a:blip r:embed="rId22"/>
                    <a:srcRect b="0" l="0" r="0" t="0"/>
                    <a:stretch/>
                  </pic:blipFill>
                  <pic:spPr>
                    <a:xfrm flipH="false" flipV="false" rot="0">
                      <a:ext cx="1454150" cy="573351"/>
                    </a:xfrm>
                    <a:prstGeom prst="rect"/>
                  </pic:spPr>
                </pic:pic>
              </a:graphicData>
            </a:graphic>
          </wp:inline>
        </w:drawing>
      </w:r>
    </w:p>
    <w:p w14:paraId="03010000">
      <w:pPr>
        <w:widowControl w:val="1"/>
        <w:tabs>
          <w:tab w:leader="none" w:pos="709" w:val="left"/>
          <w:tab w:leader="none" w:pos="1134" w:val="left"/>
        </w:tabs>
        <w:ind w:firstLine="567"/>
        <w:jc w:val="both"/>
        <w:rPr>
          <w:color w:themeColor="text1" w:val="000000"/>
        </w:rPr>
      </w:pPr>
      <w:r>
        <w:rPr>
          <w:color w:themeColor="text1" w:val="000000"/>
        </w:rPr>
        <w:t>где:</w:t>
      </w:r>
    </w:p>
    <w:p w14:paraId="04010000">
      <w:pPr>
        <w:widowControl w:val="1"/>
        <w:tabs>
          <w:tab w:leader="none" w:pos="709" w:val="left"/>
          <w:tab w:leader="none" w:pos="1134" w:val="left"/>
        </w:tabs>
        <w:ind w:firstLine="567"/>
        <w:jc w:val="both"/>
        <w:rPr>
          <w:color w:themeColor="text1" w:val="000000"/>
        </w:rPr>
      </w:pPr>
      <w:r>
        <w:rPr>
          <w:color w:themeColor="text1" w:val="000000"/>
        </w:rPr>
        <w:t>V – размер субсидии, предоставленной получателю субсидий;</w:t>
      </w:r>
    </w:p>
    <w:p w14:paraId="05010000">
      <w:pPr>
        <w:widowControl w:val="1"/>
        <w:tabs>
          <w:tab w:leader="none" w:pos="709" w:val="left"/>
          <w:tab w:leader="none" w:pos="1134" w:val="left"/>
        </w:tabs>
        <w:ind w:firstLine="567"/>
        <w:jc w:val="both"/>
        <w:rPr>
          <w:color w:themeColor="text1" w:val="000000"/>
        </w:rPr>
      </w:pPr>
      <w:r>
        <w:rPr>
          <w:color w:themeColor="text1" w:val="000000"/>
        </w:rPr>
        <w:t>n – количество характеристик;</w:t>
      </w:r>
    </w:p>
    <w:p w14:paraId="06010000">
      <w:pPr>
        <w:widowControl w:val="1"/>
        <w:tabs>
          <w:tab w:leader="none" w:pos="709" w:val="left"/>
          <w:tab w:leader="none" w:pos="1134" w:val="left"/>
        </w:tabs>
        <w:ind w:firstLine="567"/>
        <w:jc w:val="both"/>
        <w:rPr>
          <w:color w:themeColor="text1" w:val="000000"/>
        </w:rPr>
      </w:pPr>
      <w:r>
        <w:rPr>
          <w:color w:themeColor="text1" w:val="000000"/>
        </w:rPr>
        <w:t>F</w:t>
      </w:r>
      <w:r>
        <w:rPr>
          <w:color w:themeColor="text1" w:val="000000"/>
          <w:vertAlign w:val="subscript"/>
        </w:rPr>
        <w:t>i</w:t>
      </w:r>
      <w:r>
        <w:rPr>
          <w:color w:themeColor="text1" w:val="000000"/>
        </w:rPr>
        <w:t xml:space="preserve"> – фактическое значение i-й характеристики;</w:t>
      </w:r>
    </w:p>
    <w:p w14:paraId="07010000">
      <w:pPr>
        <w:widowControl w:val="1"/>
        <w:tabs>
          <w:tab w:leader="none" w:pos="709" w:val="left"/>
          <w:tab w:leader="none" w:pos="1134" w:val="left"/>
        </w:tabs>
        <w:ind w:firstLine="567"/>
        <w:jc w:val="both"/>
        <w:rPr>
          <w:color w:themeColor="text1" w:val="000000"/>
        </w:rPr>
      </w:pPr>
      <w:r>
        <w:rPr>
          <w:color w:themeColor="text1" w:val="000000"/>
        </w:rPr>
        <w:t>P</w:t>
      </w:r>
      <w:r>
        <w:rPr>
          <w:color w:themeColor="text1" w:val="000000"/>
          <w:vertAlign w:val="subscript"/>
        </w:rPr>
        <w:t>i</w:t>
      </w:r>
      <w:r>
        <w:rPr>
          <w:color w:themeColor="text1" w:val="000000"/>
        </w:rPr>
        <w:t xml:space="preserve"> – плановое значение i-й характеристики согласно соглашению.</w:t>
      </w:r>
    </w:p>
    <w:p w14:paraId="08010000">
      <w:pPr>
        <w:pStyle w:val="Style_8"/>
        <w:widowControl w:val="1"/>
        <w:numPr>
          <w:ilvl w:val="1"/>
          <w:numId w:val="8"/>
        </w:numPr>
        <w:tabs>
          <w:tab w:leader="none" w:pos="709" w:val="left"/>
          <w:tab w:leader="none" w:pos="1134" w:val="left"/>
        </w:tabs>
        <w:ind w:firstLine="567" w:left="0"/>
        <w:jc w:val="both"/>
        <w:rPr>
          <w:color w:themeColor="text1" w:val="000000"/>
        </w:rPr>
      </w:pPr>
      <w:r>
        <w:rPr>
          <w:color w:themeColor="text1" w:val="000000"/>
        </w:rPr>
        <w:t>Получатель субсидии обязан осуществить возврат средств субсидии в бюджет Санкт-Петербурга в течение пяти рабочих дней со дня получения требования и копии распоряжения, указанных в пунктах 6.4 и 6.5 настоящего Порядка, на бумажном носителе.</w:t>
      </w:r>
    </w:p>
    <w:p w14:paraId="09010000">
      <w:pPr>
        <w:pStyle w:val="Style_8"/>
        <w:widowControl w:val="1"/>
        <w:numPr>
          <w:ilvl w:val="1"/>
          <w:numId w:val="8"/>
        </w:numPr>
        <w:tabs>
          <w:tab w:leader="none" w:pos="709" w:val="left"/>
          <w:tab w:leader="none" w:pos="1134" w:val="left"/>
        </w:tabs>
        <w:ind w:firstLine="567" w:left="0"/>
        <w:jc w:val="both"/>
        <w:rPr>
          <w:color w:themeColor="text1" w:val="000000"/>
        </w:rPr>
      </w:pPr>
      <w:r>
        <w:rPr>
          <w:color w:themeColor="text1" w:val="000000"/>
        </w:rPr>
        <w:t xml:space="preserve"> В случае если средства субсидии не возвращены получателем субсидии </w:t>
      </w:r>
      <w:r>
        <w:rPr>
          <w:color w:themeColor="text1" w:val="000000"/>
        </w:rPr>
        <w:br/>
      </w:r>
      <w:r>
        <w:rPr>
          <w:color w:themeColor="text1" w:val="000000"/>
        </w:rPr>
        <w:t xml:space="preserve">в бюджет Санкт-Петербурга в срок, установленный в пункте 6.7 настоящего Порядка, Комитет в течение 15 рабочих дней со дня истечения указанного срока, обращается </w:t>
      </w:r>
      <w:r>
        <w:rPr>
          <w:color w:themeColor="text1" w:val="000000"/>
        </w:rPr>
        <w:br/>
      </w:r>
      <w:r>
        <w:rPr>
          <w:color w:themeColor="text1" w:val="000000"/>
        </w:rPr>
        <w:t>в установленном порядке в суд с требованием к получателю субсидии о возврате средств субсидии в бюджет Санкт-Петербурга.</w:t>
      </w:r>
    </w:p>
    <w:p w14:paraId="0A010000">
      <w:pPr>
        <w:pStyle w:val="Style_8"/>
        <w:widowControl w:val="1"/>
        <w:numPr>
          <w:ilvl w:val="1"/>
          <w:numId w:val="8"/>
        </w:numPr>
        <w:tabs>
          <w:tab w:leader="none" w:pos="709" w:val="left"/>
          <w:tab w:leader="none" w:pos="1134" w:val="left"/>
        </w:tabs>
        <w:ind w:firstLine="567" w:left="0"/>
        <w:jc w:val="both"/>
        <w:rPr>
          <w:color w:themeColor="text1" w:val="000000"/>
        </w:rPr>
      </w:pPr>
      <w:r>
        <w:rPr>
          <w:color w:themeColor="text1" w:val="000000"/>
        </w:rPr>
        <w:t xml:space="preserve">Проверки органами государственного финансового контроля осуществляются </w:t>
      </w:r>
      <w:r>
        <w:rPr>
          <w:color w:themeColor="text1" w:val="000000"/>
        </w:rPr>
        <w:br/>
      </w:r>
      <w:r>
        <w:rPr>
          <w:color w:themeColor="text1" w:val="000000"/>
        </w:rPr>
        <w:t>в соответствии со статьями 268.1 и 269.2 Бюджетного кодекса Российской Федерации.</w:t>
      </w:r>
    </w:p>
    <w:p w14:paraId="0B010000">
      <w:pPr>
        <w:pStyle w:val="Style_8"/>
        <w:widowControl w:val="1"/>
        <w:tabs>
          <w:tab w:leader="none" w:pos="709" w:val="left"/>
          <w:tab w:leader="none" w:pos="1134" w:val="left"/>
        </w:tabs>
        <w:ind w:left="567"/>
        <w:jc w:val="both"/>
        <w:rPr>
          <w:color w:themeColor="text1" w:val="000000"/>
        </w:rPr>
      </w:pPr>
    </w:p>
    <w:p w14:paraId="0C010000">
      <w:pPr>
        <w:widowControl w:val="1"/>
        <w:ind w:firstLine="567"/>
        <w:jc w:val="both"/>
        <w:rPr>
          <w:color w:themeColor="text1" w:val="000000"/>
        </w:rPr>
      </w:pPr>
      <w:r>
        <w:rPr>
          <w:color w:themeColor="text1" w:val="000000"/>
        </w:rPr>
        <w:t>Примечание.</w:t>
      </w:r>
    </w:p>
    <w:p w14:paraId="0D010000">
      <w:pPr>
        <w:widowControl w:val="1"/>
        <w:ind w:firstLine="567"/>
        <w:jc w:val="both"/>
        <w:rPr>
          <w:color w:themeColor="text1" w:val="000000"/>
        </w:rPr>
      </w:pPr>
      <w:r>
        <w:rPr>
          <w:color w:themeColor="text1" w:val="000000"/>
        </w:rPr>
        <w:t xml:space="preserve">Понятия и термины, используемые в приложениях к настоящему Порядку, </w:t>
      </w:r>
      <w:r>
        <w:rPr>
          <w:color w:themeColor="text1" w:val="000000"/>
        </w:rPr>
        <w:br/>
      </w:r>
      <w:r>
        <w:rPr>
          <w:color w:themeColor="text1" w:val="000000"/>
        </w:rPr>
        <w:t>при отсутствии в них собственной терминологии (в том числе сокращенных понятий) используются в значениях, установленных настоящим Порядком.</w:t>
      </w:r>
    </w:p>
    <w:p w14:paraId="0E010000">
      <w:pPr>
        <w:sectPr>
          <w:headerReference r:id="rId12" w:type="default"/>
          <w:headerReference r:id="rId11" w:type="first"/>
          <w:headerReference r:id="rId10" w:type="even"/>
          <w:pgSz w:h="16838" w:orient="portrait" w:w="11906"/>
          <w:pgMar w:bottom="851" w:footer="709" w:gutter="0" w:header="709" w:left="1389" w:right="879" w:top="1134"/>
          <w:pgNumType w:start="1"/>
          <w:titlePg/>
        </w:sectPr>
      </w:pPr>
    </w:p>
    <w:p w14:paraId="0F010000">
      <w:pPr>
        <w:widowControl w:val="1"/>
        <w:ind w:left="4395"/>
        <w:rPr>
          <w:color w:themeColor="text1" w:val="000000"/>
        </w:rPr>
      </w:pPr>
      <w:r>
        <w:rPr>
          <w:color w:themeColor="text1" w:val="000000"/>
        </w:rPr>
        <w:t>Приложение № 1</w:t>
      </w:r>
    </w:p>
    <w:p w14:paraId="10010000">
      <w:pPr>
        <w:widowControl w:val="1"/>
        <w:ind w:left="4395"/>
        <w:rPr>
          <w:color w:themeColor="text1" w:val="000000"/>
        </w:rPr>
      </w:pPr>
      <w:r>
        <w:rPr>
          <w:color w:themeColor="text1" w:val="000000"/>
        </w:rPr>
        <w:t xml:space="preserve">к Порядку предоставления в 2025 году субсидий субъектам деятельности в сфере промышленности в Санкт-Петербурге </w:t>
      </w:r>
    </w:p>
    <w:p w14:paraId="11010000">
      <w:pPr>
        <w:widowControl w:val="1"/>
        <w:ind w:left="4395"/>
        <w:rPr>
          <w:color w:themeColor="text1" w:val="000000"/>
        </w:rPr>
      </w:pPr>
      <w:r>
        <w:rPr>
          <w:color w:themeColor="text1" w:val="000000"/>
        </w:rPr>
        <w:t>в целях возмещения части затрат организаций, связанных с осуществлением найма жилья сотрудникам из других регионов</w:t>
      </w:r>
      <w:r>
        <w:rPr>
          <w:color w:themeColor="text1" w:val="000000"/>
        </w:rPr>
        <w:tab/>
      </w:r>
    </w:p>
    <w:p w14:paraId="12010000">
      <w:pPr>
        <w:rPr>
          <w:color w:themeColor="text1" w:val="000000"/>
        </w:rPr>
      </w:pPr>
    </w:p>
    <w:p w14:paraId="13010000">
      <w:pPr>
        <w:widowControl w:val="1"/>
        <w:ind w:firstLine="709" w:left="7090"/>
        <w:rPr>
          <w:color w:themeColor="text1" w:val="000000"/>
        </w:rPr>
      </w:pPr>
      <w:r>
        <w:rPr>
          <w:color w:themeColor="text1" w:val="000000"/>
        </w:rPr>
        <w:t>(Форма)</w:t>
      </w:r>
    </w:p>
    <w:p w14:paraId="14010000">
      <w:pPr>
        <w:rPr>
          <w:b w:val="1"/>
          <w:color w:themeColor="text1" w:val="000000"/>
        </w:rPr>
      </w:pPr>
    </w:p>
    <w:p w14:paraId="15010000">
      <w:pPr>
        <w:widowControl w:val="1"/>
        <w:ind w:left="3969"/>
        <w:rPr>
          <w:color w:themeColor="text1" w:val="000000"/>
        </w:rPr>
      </w:pPr>
      <w:r>
        <w:rPr>
          <w:color w:themeColor="text1" w:val="000000"/>
        </w:rPr>
        <w:t xml:space="preserve">        В Комитет по промышленной </w:t>
      </w:r>
      <w:r>
        <w:rPr>
          <w:color w:themeColor="text1" w:val="000000"/>
        </w:rPr>
        <w:t xml:space="preserve">политике, </w:t>
      </w:r>
      <w:r>
        <w:rPr>
          <w:color w:themeColor="text1" w:val="000000"/>
        </w:rPr>
        <w:br/>
      </w:r>
      <w:r>
        <w:rPr>
          <w:color w:themeColor="text1" w:val="000000"/>
        </w:rPr>
        <w:t xml:space="preserve">  </w:t>
      </w:r>
      <w:r>
        <w:rPr>
          <w:color w:themeColor="text1" w:val="000000"/>
        </w:rPr>
        <w:t xml:space="preserve">      инновациям и торговле Санкт-Петербурга</w:t>
      </w:r>
    </w:p>
    <w:p w14:paraId="16010000">
      <w:pPr>
        <w:widowControl w:val="1"/>
        <w:ind w:left="3969"/>
        <w:rPr>
          <w:color w:themeColor="text1" w:val="000000"/>
        </w:rPr>
      </w:pPr>
      <w:r>
        <w:rPr>
          <w:color w:themeColor="text1" w:val="000000"/>
        </w:rPr>
        <w:t xml:space="preserve">        от________________________________ </w:t>
      </w:r>
    </w:p>
    <w:p w14:paraId="17010000">
      <w:pPr>
        <w:widowControl w:val="1"/>
        <w:ind w:left="3969"/>
        <w:jc w:val="center"/>
        <w:rPr>
          <w:color w:themeColor="text1" w:val="000000"/>
          <w:sz w:val="20"/>
        </w:rPr>
      </w:pPr>
      <w:r>
        <w:rPr>
          <w:color w:themeColor="text1" w:val="000000"/>
          <w:sz w:val="20"/>
        </w:rPr>
        <w:t>(Полное наименование организации</w:t>
      </w:r>
    </w:p>
    <w:p w14:paraId="18010000">
      <w:pPr>
        <w:widowControl w:val="1"/>
        <w:ind w:left="3969"/>
        <w:jc w:val="center"/>
        <w:rPr>
          <w:color w:themeColor="text1" w:val="000000"/>
          <w:sz w:val="20"/>
        </w:rPr>
      </w:pPr>
      <w:r>
        <w:rPr>
          <w:color w:themeColor="text1" w:val="000000"/>
          <w:sz w:val="20"/>
        </w:rPr>
        <w:t>в соответствии с учредительными документами)</w:t>
      </w:r>
    </w:p>
    <w:p w14:paraId="19010000">
      <w:pPr>
        <w:widowControl w:val="0"/>
        <w:ind w:left="708"/>
        <w:jc w:val="both"/>
        <w:rPr>
          <w:color w:themeColor="text1" w:val="000000"/>
        </w:rPr>
      </w:pPr>
    </w:p>
    <w:p w14:paraId="1A010000">
      <w:pPr>
        <w:widowControl w:val="0"/>
        <w:ind/>
        <w:jc w:val="both"/>
        <w:rPr>
          <w:color w:themeColor="text1" w:val="000000"/>
        </w:rPr>
      </w:pPr>
    </w:p>
    <w:p w14:paraId="1B010000">
      <w:pPr>
        <w:widowControl w:val="0"/>
        <w:ind/>
        <w:jc w:val="center"/>
        <w:rPr>
          <w:b w:val="1"/>
          <w:color w:themeColor="text1" w:val="000000"/>
        </w:rPr>
      </w:pPr>
    </w:p>
    <w:p w14:paraId="1C010000">
      <w:pPr>
        <w:widowControl w:val="0"/>
        <w:ind/>
        <w:jc w:val="center"/>
        <w:rPr>
          <w:b w:val="1"/>
        </w:rPr>
      </w:pPr>
      <w:r>
        <w:rPr>
          <w:b w:val="1"/>
        </w:rPr>
        <w:t>ЗАЯВКА</w:t>
      </w:r>
    </w:p>
    <w:p w14:paraId="1D010000">
      <w:pPr>
        <w:widowControl w:val="0"/>
        <w:tabs>
          <w:tab w:leader="none" w:pos="1843" w:val="left"/>
        </w:tabs>
        <w:ind/>
        <w:jc w:val="center"/>
        <w:rPr>
          <w:b w:val="1"/>
          <w:color w:themeColor="text1" w:val="000000"/>
        </w:rPr>
      </w:pPr>
      <w:r>
        <w:rPr>
          <w:b w:val="1"/>
          <w:color w:themeColor="text1" w:val="000000"/>
        </w:rPr>
        <w:t xml:space="preserve">на участие в отборе на право получения в 2025 году субсидий субъектам деятельности в сфере промышленности в Санкт-Петербурге в целях </w:t>
      </w:r>
    </w:p>
    <w:p w14:paraId="1E010000">
      <w:pPr>
        <w:widowControl w:val="0"/>
        <w:tabs>
          <w:tab w:leader="none" w:pos="1843" w:val="left"/>
        </w:tabs>
        <w:ind/>
        <w:jc w:val="center"/>
        <w:rPr>
          <w:b w:val="1"/>
          <w:color w:themeColor="text1" w:val="000000"/>
        </w:rPr>
      </w:pPr>
      <w:r>
        <w:rPr>
          <w:b w:val="1"/>
          <w:color w:themeColor="text1" w:val="000000"/>
        </w:rPr>
        <w:t xml:space="preserve">возмещения части затрат организаций, связанных с осуществлением </w:t>
      </w:r>
    </w:p>
    <w:p w14:paraId="1F010000">
      <w:pPr>
        <w:widowControl w:val="0"/>
        <w:tabs>
          <w:tab w:leader="none" w:pos="1843" w:val="left"/>
        </w:tabs>
        <w:ind/>
        <w:jc w:val="center"/>
        <w:rPr>
          <w:b w:val="1"/>
          <w:color w:themeColor="text1" w:val="000000"/>
        </w:rPr>
      </w:pPr>
      <w:r>
        <w:rPr>
          <w:b w:val="1"/>
          <w:color w:themeColor="text1" w:val="000000"/>
        </w:rPr>
        <w:t>найма жилья сотрудникам из других регионов</w:t>
      </w:r>
    </w:p>
    <w:p w14:paraId="20010000">
      <w:pPr>
        <w:widowControl w:val="0"/>
        <w:tabs>
          <w:tab w:leader="none" w:pos="1843" w:val="left"/>
        </w:tabs>
        <w:ind w:left="567"/>
        <w:jc w:val="center"/>
        <w:rPr>
          <w:b w:val="1"/>
          <w:color w:themeColor="text1" w:val="000000"/>
        </w:rPr>
      </w:pPr>
    </w:p>
    <w:p w14:paraId="21010000">
      <w:pPr>
        <w:rPr>
          <w:color w:themeColor="text1" w:val="000000"/>
        </w:rPr>
      </w:pPr>
    </w:p>
    <w:p w14:paraId="22010000">
      <w:pPr>
        <w:widowControl w:val="1"/>
        <w:ind w:firstLine="567"/>
        <w:jc w:val="both"/>
        <w:rPr>
          <w:color w:themeColor="text1" w:val="000000"/>
        </w:rPr>
      </w:pPr>
      <w:r>
        <w:rPr>
          <w:color w:themeColor="text1" w:val="000000"/>
        </w:rPr>
        <w:t xml:space="preserve">В соответствии с </w:t>
      </w:r>
      <w:r>
        <w:rPr>
          <w:color w:themeColor="text1" w:val="000000"/>
        </w:rPr>
        <w:fldChar w:fldCharType="begin"/>
      </w:r>
      <w:r>
        <w:rPr>
          <w:color w:themeColor="text1" w:val="000000"/>
        </w:rPr>
        <w:instrText>HYPERLINK "consultantplus://offline/ref=AE1B6CF74C9D8E3F6548B8ACB5810929E5EB9C3A2018FF17D6D9F4E04314A80F465382B09D31742APDV4R"</w:instrText>
      </w:r>
      <w:r>
        <w:rPr>
          <w:color w:themeColor="text1" w:val="000000"/>
        </w:rPr>
        <w:fldChar w:fldCharType="separate"/>
      </w:r>
      <w:r>
        <w:rPr>
          <w:color w:themeColor="text1" w:val="000000"/>
        </w:rPr>
        <w:t>Порядк</w:t>
      </w:r>
      <w:r>
        <w:rPr>
          <w:color w:themeColor="text1" w:val="000000"/>
        </w:rPr>
        <w:fldChar w:fldCharType="end"/>
      </w:r>
      <w:r>
        <w:rPr>
          <w:color w:themeColor="text1" w:val="000000"/>
        </w:rPr>
        <w:t xml:space="preserve">ом предоставления в 2025 году субсидий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из других регионов, утвержденным постановлением Правительства Санкт-Петербурга </w:t>
      </w:r>
      <w:r>
        <w:rPr>
          <w:color w:themeColor="text1" w:val="000000"/>
        </w:rPr>
        <w:br/>
      </w:r>
      <w:r>
        <w:rPr>
          <w:color w:themeColor="text1" w:val="000000"/>
        </w:rPr>
        <w:t>от ______________ № _________ (далее – Порядок),</w:t>
      </w:r>
    </w:p>
    <w:p w14:paraId="23010000">
      <w:pPr>
        <w:widowControl w:val="1"/>
        <w:ind/>
        <w:jc w:val="both"/>
        <w:rPr>
          <w:color w:themeColor="text1" w:val="000000"/>
        </w:rPr>
      </w:pPr>
      <w:r>
        <w:rPr>
          <w:color w:themeColor="text1" w:val="000000"/>
        </w:rPr>
        <w:t>_____________________________________________________________________________,</w:t>
      </w:r>
    </w:p>
    <w:p w14:paraId="24010000">
      <w:pPr>
        <w:widowControl w:val="1"/>
        <w:ind w:firstLine="567"/>
        <w:jc w:val="center"/>
        <w:rPr>
          <w:color w:themeColor="text1" w:val="000000"/>
          <w:sz w:val="18"/>
        </w:rPr>
      </w:pPr>
      <w:r>
        <w:rPr>
          <w:color w:themeColor="text1" w:val="000000"/>
          <w:sz w:val="18"/>
        </w:rPr>
        <w:t>(Полное наименование организации в соответствии с учредительными документами)</w:t>
      </w:r>
    </w:p>
    <w:p w14:paraId="25010000">
      <w:pPr>
        <w:widowControl w:val="1"/>
        <w:ind w:firstLine="567"/>
        <w:jc w:val="both"/>
        <w:rPr>
          <w:color w:themeColor="text1" w:val="000000"/>
          <w:sz w:val="8"/>
        </w:rPr>
      </w:pPr>
    </w:p>
    <w:p w14:paraId="26010000">
      <w:pPr>
        <w:widowControl w:val="1"/>
        <w:ind/>
        <w:jc w:val="both"/>
        <w:rPr>
          <w:color w:themeColor="text1" w:val="000000"/>
        </w:rPr>
      </w:pPr>
      <w:r>
        <w:rPr>
          <w:color w:themeColor="text1" w:val="000000"/>
        </w:rPr>
        <w:t xml:space="preserve">(далее – Заявитель), являясь субъектом деятельности в сфере промышленности </w:t>
      </w:r>
      <w:r>
        <w:rPr>
          <w:color w:themeColor="text1" w:val="000000"/>
        </w:rPr>
        <w:br/>
      </w:r>
      <w:r>
        <w:rPr>
          <w:color w:themeColor="text1" w:val="000000"/>
        </w:rPr>
        <w:t>в Санкт-Петербурге,</w:t>
      </w:r>
      <w:r>
        <w:rPr>
          <w:b w:val="1"/>
          <w:color w:themeColor="text1" w:val="000000"/>
        </w:rPr>
        <w:t xml:space="preserve"> </w:t>
      </w:r>
      <w:r>
        <w:rPr>
          <w:color w:themeColor="text1" w:val="000000"/>
        </w:rPr>
        <w:t xml:space="preserve">просит предоставить в 2025 году субсидию в целях возмещения части затрат, связанных с осуществлением найма жилья сотрудникам </w:t>
      </w:r>
      <w:r>
        <w:rPr>
          <w:color w:themeColor="text1" w:val="000000"/>
        </w:rPr>
        <w:br/>
      </w:r>
      <w:r>
        <w:rPr>
          <w:color w:themeColor="text1" w:val="000000"/>
        </w:rPr>
        <w:t>из других регионов (далее – субсидия), в размере:</w:t>
      </w:r>
    </w:p>
    <w:p w14:paraId="27010000">
      <w:pPr>
        <w:widowControl w:val="1"/>
        <w:ind/>
        <w:jc w:val="both"/>
        <w:rPr>
          <w:color w:themeColor="text1" w:val="000000"/>
        </w:rPr>
      </w:pPr>
      <w:r>
        <w:rPr>
          <w:color w:themeColor="text1" w:val="000000"/>
        </w:rPr>
        <w:t xml:space="preserve">__________________________________(________________________) рублей ____ копеек.                                          </w:t>
      </w:r>
    </w:p>
    <w:p w14:paraId="28010000">
      <w:pPr>
        <w:widowControl w:val="1"/>
        <w:ind w:firstLine="567"/>
        <w:jc w:val="both"/>
        <w:rPr>
          <w:color w:themeColor="text1" w:val="000000"/>
          <w:sz w:val="18"/>
        </w:rPr>
      </w:pPr>
      <w:r>
        <w:rPr>
          <w:color w:themeColor="text1" w:val="000000"/>
        </w:rPr>
        <w:t xml:space="preserve">                       </w:t>
      </w:r>
      <w:r>
        <w:rPr>
          <w:color w:themeColor="text1" w:val="000000"/>
          <w:sz w:val="18"/>
        </w:rPr>
        <w:t>(</w:t>
      </w:r>
      <w:r>
        <w:rPr>
          <w:color w:themeColor="text1" w:val="000000"/>
          <w:sz w:val="18"/>
        </w:rPr>
        <w:t xml:space="preserve">цифрами)   </w:t>
      </w:r>
      <w:r>
        <w:rPr>
          <w:color w:themeColor="text1" w:val="000000"/>
          <w:sz w:val="18"/>
        </w:rPr>
        <w:t xml:space="preserve">                                                     (прописью)</w:t>
      </w:r>
    </w:p>
    <w:p w14:paraId="29010000">
      <w:pPr>
        <w:widowControl w:val="1"/>
        <w:ind w:firstLine="567"/>
        <w:jc w:val="both"/>
        <w:rPr>
          <w:color w:themeColor="text1" w:val="000000"/>
        </w:rPr>
      </w:pPr>
      <w:r>
        <w:rPr>
          <w:color w:themeColor="text1" w:val="000000"/>
          <w:sz w:val="18"/>
        </w:rPr>
        <w:t xml:space="preserve">                         </w:t>
      </w:r>
    </w:p>
    <w:tbl>
      <w:tblPr>
        <w:tblStyle w:val="Style_11"/>
        <w:tblW w:type="auto" w:w="0"/>
        <w:tblLayout w:type="fixed"/>
        <w:tblCellMar>
          <w:left w:type="dxa" w:w="0"/>
          <w:right w:type="dxa" w:w="0"/>
        </w:tblCellMar>
      </w:tblPr>
      <w:tblGrid>
        <w:gridCol w:w="9503"/>
      </w:tblGrid>
      <w:tr>
        <w:tc>
          <w:tcPr>
            <w:tcW w:type="dxa" w:w="9503"/>
            <w:tcMar>
              <w:left w:type="dxa" w:w="0"/>
              <w:right w:type="dxa" w:w="0"/>
            </w:tcMar>
          </w:tcPr>
          <w:p w14:paraId="2A010000">
            <w:pPr>
              <w:widowControl w:val="1"/>
              <w:ind/>
              <w:jc w:val="both"/>
              <w:rPr>
                <w:color w:themeColor="text1" w:val="000000"/>
              </w:rPr>
            </w:pPr>
            <w:r>
              <w:rPr>
                <w:color w:themeColor="text1" w:val="000000"/>
              </w:rPr>
              <w:t>Заявитель представляет следующие документы:</w:t>
            </w:r>
          </w:p>
          <w:p w14:paraId="2B010000">
            <w:pPr>
              <w:widowControl w:val="1"/>
              <w:ind/>
              <w:jc w:val="both"/>
              <w:rPr>
                <w:b w:val="1"/>
                <w:color w:themeColor="text1" w:val="000000"/>
              </w:rPr>
            </w:pPr>
          </w:p>
          <w:tbl>
            <w:tblPr>
              <w:tblStyle w:val="Style_1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88"/>
              <w:gridCol w:w="5811"/>
              <w:gridCol w:w="2552"/>
            </w:tblGrid>
            <w:tr>
              <w:tc>
                <w:tcPr>
                  <w:tcW w:type="dxa" w:w="988"/>
                  <w:tcBorders>
                    <w:top w:color="000000" w:sz="4" w:val="single"/>
                    <w:left w:color="000000" w:sz="4" w:val="single"/>
                    <w:bottom w:color="000000" w:sz="4" w:val="single"/>
                    <w:right w:color="000000" w:sz="4" w:val="single"/>
                  </w:tcBorders>
                  <w:shd w:fill="auto" w:val="clear"/>
                  <w:vAlign w:val="center"/>
                </w:tcPr>
                <w:p w14:paraId="2C010000">
                  <w:pPr>
                    <w:widowControl w:val="1"/>
                    <w:ind/>
                    <w:jc w:val="center"/>
                    <w:rPr>
                      <w:b w:val="1"/>
                      <w:color w:themeColor="text1" w:val="000000"/>
                    </w:rPr>
                  </w:pPr>
                  <w:r>
                    <w:rPr>
                      <w:b w:val="1"/>
                      <w:color w:themeColor="text1" w:val="000000"/>
                    </w:rPr>
                    <w:t>№ п/п</w:t>
                  </w:r>
                </w:p>
              </w:tc>
              <w:tc>
                <w:tcPr>
                  <w:tcW w:type="dxa" w:w="5811"/>
                  <w:tcBorders>
                    <w:top w:color="000000" w:sz="4" w:val="single"/>
                    <w:left w:color="000000" w:sz="4" w:val="single"/>
                    <w:bottom w:color="000000" w:sz="4" w:val="single"/>
                    <w:right w:color="000000" w:sz="4" w:val="single"/>
                  </w:tcBorders>
                  <w:shd w:fill="auto" w:val="clear"/>
                  <w:vAlign w:val="center"/>
                </w:tcPr>
                <w:p w14:paraId="2D010000">
                  <w:pPr>
                    <w:widowControl w:val="1"/>
                    <w:ind/>
                    <w:jc w:val="center"/>
                    <w:rPr>
                      <w:b w:val="1"/>
                      <w:color w:themeColor="text1" w:val="000000"/>
                    </w:rPr>
                  </w:pPr>
                  <w:r>
                    <w:rPr>
                      <w:b w:val="1"/>
                      <w:color w:themeColor="text1" w:val="000000"/>
                    </w:rPr>
                    <w:t>Наименование документа</w:t>
                  </w:r>
                </w:p>
                <w:p w14:paraId="2E010000">
                  <w:pPr>
                    <w:widowControl w:val="1"/>
                    <w:ind/>
                    <w:jc w:val="center"/>
                    <w:rPr>
                      <w:b w:val="1"/>
                      <w:color w:themeColor="text1" w:val="000000"/>
                    </w:rPr>
                  </w:pPr>
                </w:p>
              </w:tc>
              <w:tc>
                <w:tcPr>
                  <w:tcW w:type="dxa" w:w="2552"/>
                  <w:tcBorders>
                    <w:top w:color="000000" w:sz="4" w:val="single"/>
                    <w:left w:color="000000" w:sz="4" w:val="single"/>
                    <w:bottom w:color="000000" w:sz="4" w:val="single"/>
                    <w:right w:color="000000" w:sz="4" w:val="single"/>
                  </w:tcBorders>
                  <w:shd w:fill="auto" w:val="clear"/>
                  <w:vAlign w:val="center"/>
                </w:tcPr>
                <w:p w14:paraId="2F010000">
                  <w:pPr>
                    <w:widowControl w:val="1"/>
                    <w:ind/>
                    <w:jc w:val="center"/>
                    <w:rPr>
                      <w:b w:val="1"/>
                      <w:color w:themeColor="text1" w:val="000000"/>
                    </w:rPr>
                  </w:pPr>
                  <w:r>
                    <w:rPr>
                      <w:b w:val="1"/>
                      <w:color w:themeColor="text1" w:val="000000"/>
                    </w:rPr>
                    <w:t xml:space="preserve">Количество </w:t>
                  </w:r>
                </w:p>
                <w:p w14:paraId="30010000">
                  <w:pPr>
                    <w:widowControl w:val="1"/>
                    <w:ind/>
                    <w:jc w:val="center"/>
                    <w:rPr>
                      <w:b w:val="1"/>
                      <w:color w:themeColor="text1" w:val="000000"/>
                    </w:rPr>
                  </w:pPr>
                  <w:r>
                    <w:rPr>
                      <w:b w:val="1"/>
                      <w:color w:themeColor="text1" w:val="000000"/>
                    </w:rPr>
                    <w:t xml:space="preserve">листов </w:t>
                  </w:r>
                </w:p>
              </w:tc>
            </w:tr>
            <w:tr>
              <w:tc>
                <w:tcPr>
                  <w:tcW w:type="dxa" w:w="988"/>
                  <w:tcBorders>
                    <w:top w:color="000000" w:sz="4" w:val="single"/>
                    <w:left w:color="000000" w:sz="4" w:val="single"/>
                    <w:bottom w:color="000000" w:sz="4" w:val="single"/>
                    <w:right w:color="000000" w:sz="4" w:val="single"/>
                  </w:tcBorders>
                  <w:shd w:fill="auto" w:val="clear"/>
                  <w:vAlign w:val="center"/>
                </w:tcPr>
                <w:p w14:paraId="31010000">
                  <w:pPr>
                    <w:widowControl w:val="1"/>
                    <w:ind/>
                    <w:jc w:val="center"/>
                    <w:rPr>
                      <w:b w:val="1"/>
                      <w:color w:themeColor="text1" w:val="000000"/>
                    </w:rPr>
                  </w:pPr>
                  <w:r>
                    <w:rPr>
                      <w:b w:val="1"/>
                      <w:color w:themeColor="text1" w:val="000000"/>
                    </w:rPr>
                    <w:t>1</w:t>
                  </w:r>
                </w:p>
              </w:tc>
              <w:tc>
                <w:tcPr>
                  <w:tcW w:type="dxa" w:w="5811"/>
                  <w:tcBorders>
                    <w:top w:color="000000" w:sz="4" w:val="single"/>
                    <w:left w:color="000000" w:sz="4" w:val="single"/>
                    <w:bottom w:color="000000" w:sz="4" w:val="single"/>
                    <w:right w:color="000000" w:sz="4" w:val="single"/>
                  </w:tcBorders>
                  <w:shd w:fill="auto" w:val="clear"/>
                  <w:vAlign w:val="center"/>
                </w:tcPr>
                <w:p w14:paraId="32010000">
                  <w:pPr>
                    <w:widowControl w:val="1"/>
                    <w:ind w:firstLine="708"/>
                    <w:jc w:val="center"/>
                    <w:rPr>
                      <w:b w:val="1"/>
                      <w:color w:themeColor="text1" w:val="000000"/>
                    </w:rPr>
                  </w:pPr>
                  <w:r>
                    <w:rPr>
                      <w:b w:val="1"/>
                      <w:color w:themeColor="text1" w:val="000000"/>
                    </w:rPr>
                    <w:t>2</w:t>
                  </w:r>
                </w:p>
              </w:tc>
              <w:tc>
                <w:tcPr>
                  <w:tcW w:type="dxa" w:w="2552"/>
                  <w:tcBorders>
                    <w:top w:color="000000" w:sz="4" w:val="single"/>
                    <w:left w:color="000000" w:sz="4" w:val="single"/>
                    <w:bottom w:color="000000" w:sz="4" w:val="single"/>
                    <w:right w:color="000000" w:sz="4" w:val="single"/>
                  </w:tcBorders>
                  <w:shd w:fill="auto" w:val="clear"/>
                  <w:vAlign w:val="center"/>
                </w:tcPr>
                <w:p w14:paraId="33010000">
                  <w:pPr>
                    <w:widowControl w:val="1"/>
                    <w:ind w:firstLine="708"/>
                    <w:jc w:val="center"/>
                    <w:rPr>
                      <w:b w:val="1"/>
                      <w:color w:themeColor="text1" w:val="000000"/>
                    </w:rPr>
                  </w:pPr>
                  <w:r>
                    <w:rPr>
                      <w:b w:val="1"/>
                      <w:color w:themeColor="text1" w:val="000000"/>
                    </w:rPr>
                    <w:t>3</w:t>
                  </w:r>
                </w:p>
              </w:tc>
            </w:tr>
            <w:tr>
              <w:tc>
                <w:tcPr>
                  <w:tcW w:type="dxa" w:w="988"/>
                  <w:tcBorders>
                    <w:top w:color="000000" w:sz="4" w:val="single"/>
                    <w:left w:color="000000" w:sz="4" w:val="single"/>
                    <w:bottom w:color="000000" w:sz="4" w:val="single"/>
                    <w:right w:color="000000" w:sz="4" w:val="single"/>
                  </w:tcBorders>
                  <w:shd w:fill="auto" w:val="clear"/>
                </w:tcPr>
                <w:p w14:paraId="34010000">
                  <w:pPr>
                    <w:widowControl w:val="1"/>
                    <w:ind w:firstLine="708"/>
                    <w:jc w:val="both"/>
                    <w:rPr>
                      <w:color w:themeColor="text1" w:val="000000"/>
                    </w:rPr>
                  </w:pPr>
                </w:p>
              </w:tc>
              <w:tc>
                <w:tcPr>
                  <w:tcW w:type="dxa" w:w="5811"/>
                  <w:tcBorders>
                    <w:top w:color="000000" w:sz="4" w:val="single"/>
                    <w:left w:color="000000" w:sz="4" w:val="single"/>
                    <w:bottom w:color="000000" w:sz="4" w:val="single"/>
                    <w:right w:color="000000" w:sz="4" w:val="single"/>
                  </w:tcBorders>
                  <w:shd w:fill="auto" w:val="clear"/>
                </w:tcPr>
                <w:p w14:paraId="35010000">
                  <w:pPr>
                    <w:widowControl w:val="1"/>
                    <w:ind w:firstLine="708"/>
                    <w:jc w:val="both"/>
                    <w:rPr>
                      <w:color w:themeColor="text1" w:val="000000"/>
                    </w:rPr>
                  </w:pPr>
                </w:p>
              </w:tc>
              <w:tc>
                <w:tcPr>
                  <w:tcW w:type="dxa" w:w="2552"/>
                  <w:tcBorders>
                    <w:top w:color="000000" w:sz="4" w:val="single"/>
                    <w:left w:color="000000" w:sz="4" w:val="single"/>
                    <w:bottom w:color="000000" w:sz="4" w:val="single"/>
                    <w:right w:color="000000" w:sz="4" w:val="single"/>
                  </w:tcBorders>
                  <w:shd w:fill="auto" w:val="clear"/>
                </w:tcPr>
                <w:p w14:paraId="36010000">
                  <w:pPr>
                    <w:widowControl w:val="1"/>
                    <w:ind w:firstLine="708"/>
                    <w:jc w:val="both"/>
                    <w:rPr>
                      <w:color w:themeColor="text1" w:val="000000"/>
                    </w:rPr>
                  </w:pPr>
                </w:p>
              </w:tc>
            </w:tr>
          </w:tbl>
          <w:p w14:paraId="37010000">
            <w:pPr>
              <w:widowControl w:val="1"/>
              <w:ind w:firstLine="708"/>
              <w:jc w:val="both"/>
              <w:rPr>
                <w:color w:themeColor="text1" w:val="000000"/>
              </w:rPr>
            </w:pPr>
          </w:p>
        </w:tc>
      </w:tr>
      <w:tr>
        <w:tc>
          <w:tcPr>
            <w:tcW w:type="dxa" w:w="9503"/>
            <w:tcMar>
              <w:left w:type="dxa" w:w="0"/>
              <w:right w:type="dxa" w:w="0"/>
            </w:tcMar>
          </w:tcPr>
          <w:p w14:paraId="38010000">
            <w:pPr>
              <w:widowControl w:val="1"/>
              <w:ind/>
              <w:jc w:val="center"/>
              <w:rPr>
                <w:color w:themeColor="text1" w:val="000000"/>
                <w:sz w:val="18"/>
              </w:rPr>
            </w:pPr>
            <w:r>
              <w:rPr>
                <w:color w:themeColor="text1" w:val="000000"/>
                <w:sz w:val="18"/>
              </w:rPr>
              <w:t>(Указываются документы в соответствии с приложением № 2 к Порядку)</w:t>
            </w:r>
          </w:p>
          <w:p w14:paraId="39010000">
            <w:pPr>
              <w:widowControl w:val="1"/>
              <w:ind/>
              <w:jc w:val="center"/>
              <w:rPr>
                <w:color w:themeColor="text1" w:val="000000"/>
                <w:sz w:val="18"/>
              </w:rPr>
            </w:pPr>
          </w:p>
          <w:p w14:paraId="3A010000">
            <w:pPr>
              <w:widowControl w:val="1"/>
              <w:ind/>
              <w:contextualSpacing w:val="1"/>
              <w:jc w:val="center"/>
              <w:rPr>
                <w:color w:themeColor="text1" w:val="000000"/>
              </w:rPr>
            </w:pPr>
            <w:r>
              <w:rPr>
                <w:color w:themeColor="text1" w:val="000000"/>
              </w:rPr>
              <w:t>Сведения о заявителе:</w:t>
            </w:r>
          </w:p>
          <w:p w14:paraId="3B010000">
            <w:pPr>
              <w:widowControl w:val="1"/>
              <w:ind/>
              <w:contextualSpacing w:val="1"/>
              <w:jc w:val="both"/>
            </w:pPr>
            <w:r>
              <w:t>1. ИНН/КПП: _______________________________/__________________________________</w:t>
            </w:r>
          </w:p>
          <w:p w14:paraId="3C010000">
            <w:pPr>
              <w:widowControl w:val="1"/>
              <w:tabs>
                <w:tab w:leader="none" w:pos="284" w:val="left"/>
              </w:tabs>
              <w:ind/>
              <w:contextualSpacing w:val="1"/>
              <w:jc w:val="both"/>
            </w:pPr>
            <w:r>
              <w:t>2. ОГРН: _____________________________________________________________________</w:t>
            </w:r>
          </w:p>
          <w:p w14:paraId="3D010000">
            <w:pPr>
              <w:widowControl w:val="1"/>
              <w:tabs>
                <w:tab w:leader="none" w:pos="284" w:val="left"/>
              </w:tabs>
              <w:ind/>
              <w:contextualSpacing w:val="1"/>
              <w:jc w:val="both"/>
            </w:pPr>
            <w:r>
              <w:t xml:space="preserve">3. Юридический </w:t>
            </w:r>
            <w:r>
              <w:t>адрес:_</w:t>
            </w:r>
            <w:r>
              <w:t>_________________________________________________________</w:t>
            </w:r>
          </w:p>
          <w:p w14:paraId="3E010000">
            <w:pPr>
              <w:widowControl w:val="1"/>
              <w:tabs>
                <w:tab w:leader="none" w:pos="284" w:val="left"/>
              </w:tabs>
              <w:ind/>
              <w:contextualSpacing w:val="1"/>
              <w:jc w:val="both"/>
            </w:pPr>
            <w:r>
              <w:t>4. Фактический адрес: __________________________________________________________</w:t>
            </w:r>
          </w:p>
          <w:p w14:paraId="3F010000">
            <w:pPr>
              <w:widowControl w:val="1"/>
              <w:tabs>
                <w:tab w:leader="none" w:pos="284" w:val="left"/>
              </w:tabs>
              <w:ind/>
              <w:contextualSpacing w:val="1"/>
              <w:jc w:val="both"/>
            </w:pPr>
            <w:r>
              <w:t>5. Район Санкт-Петербурга______________________________________________________</w:t>
            </w:r>
          </w:p>
          <w:p w14:paraId="40010000">
            <w:pPr>
              <w:widowControl w:val="1"/>
              <w:tabs>
                <w:tab w:leader="none" w:pos="284" w:val="left"/>
              </w:tabs>
              <w:ind/>
              <w:contextualSpacing w:val="1"/>
              <w:jc w:val="both"/>
            </w:pPr>
            <w:r>
              <w:t xml:space="preserve">6. Контактный телефон, </w:t>
            </w:r>
            <w:r>
              <w:t>факс:  _</w:t>
            </w:r>
            <w:r>
              <w:t>__________________________________________________</w:t>
            </w:r>
          </w:p>
          <w:p w14:paraId="41010000">
            <w:pPr>
              <w:widowControl w:val="1"/>
              <w:tabs>
                <w:tab w:leader="none" w:pos="284" w:val="left"/>
              </w:tabs>
              <w:ind/>
              <w:contextualSpacing w:val="1"/>
              <w:jc w:val="both"/>
            </w:pPr>
            <w:r>
              <w:t>7. Контактное лицо (Ф.И.О, должность, телефон): __________________________________</w:t>
            </w:r>
          </w:p>
          <w:p w14:paraId="42010000">
            <w:pPr>
              <w:widowControl w:val="1"/>
              <w:tabs>
                <w:tab w:leader="none" w:pos="284" w:val="left"/>
              </w:tabs>
              <w:ind/>
              <w:contextualSpacing w:val="1"/>
              <w:jc w:val="both"/>
            </w:pPr>
            <w:r>
              <w:t>8. Адрес электронной почты: ____________________________________________________</w:t>
            </w:r>
          </w:p>
          <w:p w14:paraId="43010000">
            <w:pPr>
              <w:widowControl w:val="1"/>
              <w:tabs>
                <w:tab w:leader="none" w:pos="240" w:val="left"/>
              </w:tabs>
              <w:ind/>
              <w:contextualSpacing w:val="1"/>
              <w:jc w:val="both"/>
            </w:pPr>
            <w:r>
              <w:t>9. Основной вид деятельности организации по ОКВЭД ОК 029-2014 (КДЕС Ред.2): ____________________________________________________________________________</w:t>
            </w:r>
          </w:p>
          <w:p w14:paraId="44010000">
            <w:pPr>
              <w:widowControl w:val="1"/>
              <w:ind/>
              <w:contextualSpacing w:val="1"/>
              <w:jc w:val="both"/>
            </w:pPr>
            <w:r>
              <w:t xml:space="preserve">10. Дополнительные виды деятельности организации, относящиеся в соответствии </w:t>
            </w:r>
            <w:r>
              <w:br/>
            </w:r>
            <w:r>
              <w:t>с ОКВЭД ОК 029-2014 (КДЕС Ред.2) к разделу C «Обрабатывающие производства»:</w:t>
            </w:r>
          </w:p>
          <w:p w14:paraId="45010000">
            <w:pPr>
              <w:widowControl w:val="1"/>
              <w:ind/>
              <w:contextualSpacing w:val="1"/>
              <w:jc w:val="both"/>
            </w:pPr>
            <w:r>
              <w:t>____________________________________________________________________________</w:t>
            </w:r>
          </w:p>
          <w:p w14:paraId="46010000">
            <w:pPr>
              <w:widowControl w:val="0"/>
              <w:ind w:firstLine="567"/>
              <w:jc w:val="both"/>
            </w:pPr>
          </w:p>
          <w:p w14:paraId="47010000">
            <w:pPr>
              <w:widowControl w:val="0"/>
              <w:ind w:firstLine="567"/>
              <w:jc w:val="both"/>
            </w:pPr>
            <w:r>
              <w:t>Заявитель:</w:t>
            </w:r>
          </w:p>
          <w:p w14:paraId="48010000">
            <w:pPr>
              <w:widowControl w:val="0"/>
              <w:numPr>
                <w:ilvl w:val="0"/>
                <w:numId w:val="10"/>
              </w:numPr>
              <w:ind w:firstLine="567" w:left="0"/>
              <w:contextualSpacing w:val="1"/>
              <w:jc w:val="both"/>
            </w:pPr>
            <w:r>
              <w:t>подтверждает, что:</w:t>
            </w:r>
          </w:p>
          <w:p w14:paraId="49010000">
            <w:pPr>
              <w:widowControl w:val="1"/>
              <w:ind w:firstLine="567"/>
              <w:jc w:val="both"/>
            </w:pPr>
            <w:r>
              <w:rPr>
                <w:u w:val="single"/>
              </w:rPr>
              <w:t xml:space="preserve">на день подачи настоящей Заявки соответствует следующим требованиям </w:t>
            </w:r>
            <w:r>
              <w:rPr>
                <w:u w:val="single"/>
              </w:rPr>
              <w:br/>
            </w:r>
            <w:r>
              <w:rPr>
                <w:u w:val="single"/>
              </w:rPr>
              <w:t>к участникам отбора</w:t>
            </w:r>
            <w:r>
              <w:t>:</w:t>
            </w:r>
          </w:p>
          <w:p w14:paraId="4A010000">
            <w:pPr>
              <w:widowControl w:val="1"/>
              <w:ind w:firstLine="567"/>
              <w:jc w:val="both"/>
            </w:pPr>
            <w: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br/>
            </w:r>
            <w: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br/>
            </w:r>
            <w:r>
              <w:t>не предусмотрено законодательством Российской Федерации);</w:t>
            </w:r>
          </w:p>
          <w:p w14:paraId="4B010000">
            <w:pPr>
              <w:widowControl w:val="1"/>
              <w:ind w:firstLine="567"/>
              <w:jc w:val="both"/>
            </w:pPr>
            <w: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C010000">
            <w:pPr>
              <w:widowControl w:val="1"/>
              <w:ind w:firstLine="567"/>
              <w:jc w:val="both"/>
            </w:pPr>
            <w:r>
              <w:t xml:space="preserve">не находится в составляемых в рамках реализации полномочий, предусмотренных </w:t>
            </w:r>
            <w:r>
              <w:br/>
            </w:r>
            <w: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t xml:space="preserve">или </w:t>
            </w:r>
            <w:r>
              <w:br/>
            </w:r>
            <w:r>
              <w:t>с распространением оружия массового уничтожения;</w:t>
            </w:r>
          </w:p>
          <w:p w14:paraId="4D010000">
            <w:pPr>
              <w:widowControl w:val="1"/>
              <w:ind w:firstLine="567"/>
              <w:jc w:val="both"/>
            </w:pPr>
            <w:r>
              <w:t>не получал и не получает средства из бюджета Санкт-Петербурга на основании иных нормативных правовых актов Санкт-Петербурга на цели, установленные в пункте 1.4 Порядка;</w:t>
            </w:r>
          </w:p>
          <w:p w14:paraId="4E010000">
            <w:pPr>
              <w:widowControl w:val="1"/>
              <w:ind w:firstLine="567"/>
              <w:jc w:val="both"/>
            </w:pPr>
            <w:r>
              <w:t xml:space="preserve">не является иностранным агентом в соответствии с Федеральным законом </w:t>
            </w:r>
            <w:r>
              <w:br/>
            </w:r>
            <w:r>
              <w:t>«О контроле за деятельностью лиц, находящихся под иностранным влиянием»;</w:t>
            </w:r>
          </w:p>
          <w:p w14:paraId="4F010000">
            <w:pPr>
              <w:widowControl w:val="1"/>
              <w:ind w:firstLine="567"/>
              <w:jc w:val="both"/>
            </w:pPr>
            <w:r>
              <w:t>не находится в процессе реорганизации</w:t>
            </w:r>
            <w:r>
              <w:rPr>
                <w:vertAlign w:val="superscript"/>
              </w:rPr>
              <w:footnoteReference w:id="1"/>
            </w:r>
            <w:r>
              <w:t>,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14:paraId="50010000">
            <w:pPr>
              <w:widowControl w:val="0"/>
              <w:ind w:firstLine="567"/>
              <w:jc w:val="both"/>
            </w:pPr>
            <w:r>
              <w:t>осуществляет на территории Санкт-Петербурга хозяйственную деятельность</w:t>
            </w:r>
            <w:r>
              <w:br/>
            </w:r>
            <w:r>
              <w:t>в соответствии со своим уставом;</w:t>
            </w:r>
          </w:p>
          <w:p w14:paraId="51010000">
            <w:pPr>
              <w:widowControl w:val="0"/>
              <w:ind w:firstLine="567"/>
              <w:jc w:val="both"/>
            </w:pPr>
            <w: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br/>
            </w:r>
            <w:r>
              <w:t xml:space="preserve">в сфере закупок товаров, работ, услуг для обеспечения государственных </w:t>
            </w:r>
            <w:r>
              <w:br/>
            </w:r>
            <w:r>
              <w:t>и муниципальных нужд», отсутствует информация о Заявителе;</w:t>
            </w:r>
          </w:p>
          <w:p w14:paraId="52010000">
            <w:pPr>
              <w:widowControl w:val="0"/>
              <w:ind w:firstLine="567"/>
              <w:jc w:val="both"/>
            </w:pPr>
            <w:r>
              <w:t xml:space="preserve">в реестре дисквалифицированных лиц отсутствуют сведения </w:t>
            </w:r>
            <w:r>
              <w:br/>
            </w:r>
            <w: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14:paraId="53010000">
            <w:pPr>
              <w:widowControl w:val="0"/>
              <w:ind w:firstLine="567"/>
              <w:jc w:val="both"/>
            </w:pPr>
            <w:r>
              <w:t xml:space="preserve">не имеет задолженности по заработной плате, подтвержденной вступившими </w:t>
            </w:r>
            <w:r>
              <w:br/>
            </w:r>
            <w:r>
              <w:t>в законную силу судебными актами;</w:t>
            </w:r>
          </w:p>
          <w:p w14:paraId="54010000">
            <w:pPr>
              <w:widowControl w:val="0"/>
              <w:ind w:firstLine="567"/>
              <w:jc w:val="both"/>
            </w:pPr>
            <w: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br/>
            </w:r>
            <w:r>
              <w:t xml:space="preserve">из бюджета Санкт-Петербурга, при использовании денежных средств, предоставляемых </w:t>
            </w:r>
            <w:r>
              <w:br/>
            </w:r>
            <w: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br/>
            </w:r>
            <w:r>
              <w:t xml:space="preserve">о возврате средств бюджета Санкт-Петербурга и(или) вступило в силу постановление </w:t>
            </w:r>
            <w:r>
              <w:br/>
            </w:r>
            <w:r>
              <w:t>о назначении административного наказания;</w:t>
            </w:r>
          </w:p>
          <w:p w14:paraId="55010000">
            <w:pPr>
              <w:widowControl w:val="0"/>
              <w:ind w:firstLine="567"/>
              <w:jc w:val="both"/>
              <w:rPr>
                <w:u w:val="single"/>
              </w:rPr>
            </w:pPr>
            <w:r>
              <w:rPr>
                <w:u w:val="single"/>
              </w:rPr>
              <w:t>на дату не ранее 30 календарных дней до даты подачи настоящей заявки:</w:t>
            </w:r>
          </w:p>
          <w:p w14:paraId="56010000">
            <w:pPr>
              <w:widowControl w:val="0"/>
              <w:ind w:firstLine="567"/>
              <w:jc w:val="both"/>
            </w:pPr>
            <w:r>
              <w:t xml:space="preserve">не имеет на едином налоговом счете задолженности по уплате налогов, сборов </w:t>
            </w:r>
            <w:r>
              <w:br/>
            </w:r>
            <w:r>
              <w:t xml:space="preserve">и страховых взносов в бюджеты бюджетной системы Российской Федерации </w:t>
            </w:r>
            <w:r>
              <w:br/>
            </w:r>
            <w:r>
              <w:t>или ее размер не превышает размер, определенный в пункте 3 статьи 47 Налогового кодекса Российской Федерации</w:t>
            </w:r>
          </w:p>
          <w:p w14:paraId="57010000">
            <w:pPr>
              <w:widowControl w:val="1"/>
              <w:ind w:firstLine="567"/>
              <w:jc w:val="both"/>
              <w:rPr>
                <w:u w:val="single"/>
              </w:rPr>
            </w:pPr>
            <w:r>
              <w:rPr>
                <w:u w:val="single"/>
              </w:rPr>
              <w:t>на дату не ранее 30 календарных дней до 1 числа месяца, в котором планируется проведение отбора:</w:t>
            </w:r>
          </w:p>
          <w:p w14:paraId="58010000">
            <w:pPr>
              <w:widowControl w:val="1"/>
              <w:ind w:firstLine="567"/>
              <w:jc w:val="both"/>
            </w:pPr>
            <w:r>
              <w:t xml:space="preserve">не имеет просроченной задолженности по возврату в бюджет </w:t>
            </w:r>
            <w:r>
              <w:br/>
            </w:r>
            <w: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w:t>
            </w:r>
            <w:r>
              <w:br/>
            </w:r>
            <w:r>
              <w:t xml:space="preserve">Санкт-Петербургом; </w:t>
            </w:r>
          </w:p>
          <w:p w14:paraId="59010000">
            <w:pPr>
              <w:widowControl w:val="1"/>
              <w:ind w:firstLine="567"/>
              <w:jc w:val="both"/>
            </w:pPr>
            <w:r>
              <w:rPr>
                <w:u w:val="single"/>
              </w:rPr>
              <w:t>также соответствует следующим требованиям к участникам отбора и условиям предоставления субсидий</w:t>
            </w:r>
            <w:r>
              <w:t>:</w:t>
            </w:r>
          </w:p>
          <w:p w14:paraId="5A010000">
            <w:pPr>
              <w:widowControl w:val="1"/>
              <w:ind w:firstLine="567"/>
              <w:jc w:val="both"/>
            </w:pPr>
            <w:r>
              <w:t xml:space="preserve">соответствует категории, установленной в </w:t>
            </w:r>
            <w:r>
              <w:fldChar w:fldCharType="begin"/>
            </w:r>
            <w:r>
              <w:instrText>HYPERLINK "consultantplus://offline/ref=7F1F67A3320EF0B1B017A2F264C181D15728F812EA8369A7E16FA927B9F629B44444D1B1A86387EFC077170FF58479DD58A3060819B50BA6j67BG"</w:instrText>
            </w:r>
            <w:r>
              <w:fldChar w:fldCharType="separate"/>
            </w:r>
            <w:r>
              <w:t>пункте 1.</w:t>
            </w:r>
            <w:r>
              <w:fldChar w:fldCharType="end"/>
            </w:r>
            <w:r>
              <w:t>4 Порядка;</w:t>
            </w:r>
          </w:p>
          <w:p w14:paraId="5B010000">
            <w:pPr>
              <w:widowControl w:val="1"/>
              <w:ind w:firstLine="567"/>
              <w:jc w:val="both"/>
            </w:pPr>
            <w:r>
              <w:t xml:space="preserve">затраты, на возмещение которых претендует Заявитель за счет средств субсидии, понесены им в период </w:t>
            </w:r>
            <w:r>
              <w:rPr>
                <w:rStyle w:val="Style_10_ch"/>
              </w:rPr>
              <w:t>с</w:t>
            </w:r>
            <w:r>
              <w:rPr>
                <w:rStyle w:val="Style_10_ch"/>
                <w:color w:themeColor="text1" w:val="000000"/>
              </w:rPr>
              <w:t xml:space="preserve"> 01.11.2024 по 31.10.2025</w:t>
            </w:r>
            <w:r>
              <w:rPr>
                <w:rStyle w:val="Style_10_ch"/>
              </w:rPr>
              <w:t xml:space="preserve"> (далее </w:t>
            </w:r>
            <w:r>
              <w:t>–</w:t>
            </w:r>
            <w:r>
              <w:rPr>
                <w:rStyle w:val="Style_10_ch"/>
              </w:rPr>
              <w:t xml:space="preserve"> </w:t>
            </w:r>
            <w:r>
              <w:t xml:space="preserve">период возникновения затрат) </w:t>
            </w:r>
            <w:r>
              <w:br/>
            </w:r>
            <w:r>
              <w:t>и соответствуют направлениям, определенным в пункте 1.6 Порядка;</w:t>
            </w:r>
          </w:p>
          <w:p w14:paraId="5C010000">
            <w:pPr>
              <w:widowControl w:val="0"/>
              <w:ind w:firstLine="567"/>
              <w:jc w:val="both"/>
            </w:pPr>
            <w:r>
              <w:t xml:space="preserve">в период возникновения затрат Заявитель осуществлял на территории </w:t>
            </w:r>
            <w:r>
              <w:br/>
            </w:r>
            <w:r>
              <w:t>Санкт-Петербурга хозяйственную деятельность в соответствии со своим уставом, в том числе деятельность, указанную в пункте 1.4 Порядка;</w:t>
            </w:r>
          </w:p>
          <w:p w14:paraId="5D010000">
            <w:pPr>
              <w:widowControl w:val="1"/>
              <w:ind w:firstLine="567"/>
              <w:jc w:val="both"/>
            </w:pPr>
            <w:r>
              <w:t xml:space="preserve">размер средней заработной платы каждого работника организации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в течение 2024 года не ниже размера минимальной заработной платы </w:t>
            </w:r>
            <w:r>
              <w:br/>
            </w:r>
            <w:r>
              <w:t>в Санкт-Петербурге, установленного региональным соглашением о минимальной заработной плате в Санкт-Петербурге на соответствующий период 2024 года.</w:t>
            </w:r>
          </w:p>
          <w:p w14:paraId="5E010000">
            <w:pPr>
              <w:widowControl w:val="1"/>
              <w:ind w:firstLine="567"/>
              <w:jc w:val="both"/>
            </w:pPr>
            <w:r>
              <w:t>2. Обязуется (гарантирует):</w:t>
            </w:r>
          </w:p>
          <w:p w14:paraId="5F010000">
            <w:pPr>
              <w:widowControl w:val="0"/>
              <w:ind w:firstLine="567"/>
              <w:jc w:val="both"/>
            </w:pPr>
            <w: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настоящего Порядка, размер средней заработной платы каждого работника организации (включая работников обособленных подразделений, находящихся на территории Санкт-Петербурга), рассчитываемый 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br/>
            </w:r>
            <w:r>
              <w:t>на соответствующий период;</w:t>
            </w:r>
          </w:p>
          <w:p w14:paraId="60010000">
            <w:pPr>
              <w:widowControl w:val="1"/>
              <w:ind w:firstLine="567"/>
              <w:jc w:val="both"/>
            </w:pPr>
            <w:r>
              <w:t>достичь результата, установленного в пункте 4.6 Порядка, исходя из характеристик, установленных в пункте 4.7 Порядка;</w:t>
            </w:r>
          </w:p>
          <w:p w14:paraId="61010000">
            <w:pPr>
              <w:widowControl w:val="1"/>
              <w:ind w:firstLine="567"/>
              <w:jc w:val="both"/>
            </w:pPr>
            <w:r>
              <w:t xml:space="preserve">при реорганизации в форме слияния, присоединения или преобразования вносить </w:t>
            </w:r>
            <w:r>
              <w:br/>
            </w:r>
            <w:r>
              <w:t xml:space="preserve">в соглашение о предоставлении субсидии (далее – соглашение) изменения путем заключения к нему дополнительного соглашения в части перемены лица в обязательстве </w:t>
            </w:r>
            <w:r>
              <w:br/>
            </w:r>
            <w:r>
              <w:t xml:space="preserve">с указанием в соглашении юридического лица, являющегося правопреемником, </w:t>
            </w:r>
            <w:r>
              <w:br/>
            </w:r>
            <w:r>
              <w:t>а при реорганизации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w:t>
            </w:r>
          </w:p>
          <w:p w14:paraId="62010000">
            <w:pPr>
              <w:widowControl w:val="1"/>
              <w:ind w:firstLine="567"/>
              <w:jc w:val="both"/>
            </w:pPr>
            <w:r>
              <w:t xml:space="preserve">возвратить в бюджет Санкт-Петербурга средства субсидии при нарушении условий </w:t>
            </w:r>
            <w:r>
              <w:br/>
            </w:r>
            <w:r>
              <w:t xml:space="preserve">и (или) порядка их предоставления и (или) </w:t>
            </w:r>
            <w:r>
              <w:t>недостижении</w:t>
            </w:r>
            <w:r>
              <w:t xml:space="preserve"> результата в соответствии </w:t>
            </w:r>
            <w:r>
              <w:br/>
            </w:r>
            <w:r>
              <w:t>с пунктами 6.4, 6.5 и 6.7 Порядка;</w:t>
            </w:r>
          </w:p>
          <w:p w14:paraId="63010000">
            <w:pPr>
              <w:widowControl w:val="1"/>
              <w:ind w:firstLine="567"/>
              <w:jc w:val="both"/>
            </w:pPr>
            <w:r>
              <w:t>обеспечить соблюдения требований Федерального закона «О персональных данных».</w:t>
            </w:r>
          </w:p>
          <w:p w14:paraId="64010000">
            <w:pPr>
              <w:widowControl w:val="0"/>
              <w:ind w:firstLine="567"/>
              <w:jc w:val="both"/>
            </w:pPr>
            <w:r>
              <w:t>3. Дает согласие на:</w:t>
            </w:r>
          </w:p>
          <w:p w14:paraId="65010000">
            <w:pPr>
              <w:widowControl w:val="0"/>
              <w:ind w:firstLine="567"/>
              <w:jc w:val="both"/>
            </w:pPr>
            <w:r>
              <w:t xml:space="preserve">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br/>
            </w:r>
            <w:r>
              <w:t xml:space="preserve">в соответствии со статьями 268.1 и 269.2 Бюджетного кодекса Российской Федерации </w:t>
            </w:r>
            <w:r>
              <w:br/>
            </w:r>
            <w:r>
              <w:t>и на включение таких положений в соглашение;</w:t>
            </w:r>
          </w:p>
          <w:p w14:paraId="66010000">
            <w:pPr>
              <w:widowControl w:val="0"/>
              <w:ind w:firstLine="567"/>
              <w:jc w:val="both"/>
            </w:pPr>
            <w:r>
              <w:t xml:space="preserve">публикацию на веб-странице Комитета на официальном сайте Администрации </w:t>
            </w:r>
            <w:r>
              <w:br/>
            </w:r>
            <w:r>
              <w:t xml:space="preserve">Санкт-Петербурга в информационно-телекоммуникационной сети «Интернет» </w:t>
            </w:r>
            <w:r>
              <w:br/>
            </w:r>
            <w:r>
              <w:t xml:space="preserve">(далее – сеть «Интернет»), в подсистеме «Площадка отбора получателей субсидий» Автоматизированной информационной системы бюджетного процесса – электронное казначейство, а также и на официальном сайте Комитета в сети «Интернет» информации </w:t>
            </w:r>
            <w:r>
              <w:br/>
            </w:r>
            <w:r>
              <w:t xml:space="preserve">о Заявителе, заявке и иной информации, связанной с отбором </w:t>
            </w:r>
            <w:r>
              <w:br/>
            </w:r>
            <w:r>
              <w:t>и(или) предоставлением субсидии.</w:t>
            </w:r>
          </w:p>
          <w:p w14:paraId="67010000">
            <w:pPr>
              <w:widowControl w:val="0"/>
              <w:ind w:firstLine="567"/>
              <w:jc w:val="both"/>
              <w:rPr>
                <w:color w:themeColor="text1" w:val="000000"/>
              </w:rPr>
            </w:pPr>
          </w:p>
          <w:p w14:paraId="68010000">
            <w:pPr>
              <w:widowControl w:val="0"/>
              <w:ind w:firstLine="567"/>
              <w:jc w:val="both"/>
              <w:rPr>
                <w:color w:themeColor="text1" w:val="000000"/>
              </w:rPr>
            </w:pPr>
            <w:r>
              <w:rPr>
                <w:color w:themeColor="text1" w:val="000000"/>
              </w:rPr>
              <w:t>Полноту и достоверность представленных документов и сведений подтверждаю.</w:t>
            </w:r>
          </w:p>
          <w:p w14:paraId="69010000">
            <w:pPr>
              <w:widowControl w:val="0"/>
              <w:ind w:firstLine="709"/>
              <w:jc w:val="both"/>
              <w:rPr>
                <w:color w:themeColor="text1" w:val="000000"/>
              </w:rPr>
            </w:pPr>
          </w:p>
          <w:tbl>
            <w:tblPr>
              <w:tblStyle w:val="Style_11"/>
              <w:tblW w:type="auto" w:w="0"/>
              <w:tblInd w:type="dxa" w:w="105"/>
              <w:tblLayout w:type="fixed"/>
              <w:tblCellMar>
                <w:left w:type="dxa" w:w="105"/>
                <w:right w:type="dxa" w:w="105"/>
              </w:tblCellMar>
            </w:tblPr>
            <w:tblGrid>
              <w:gridCol w:w="4270"/>
              <w:gridCol w:w="230"/>
              <w:gridCol w:w="4856"/>
            </w:tblGrid>
            <w:tr>
              <w:tc>
                <w:tcPr>
                  <w:tcW w:type="dxa" w:w="4270"/>
                  <w:tcBorders>
                    <w:top w:sz="4" w:val="nil"/>
                    <w:left w:sz="4" w:val="nil"/>
                    <w:bottom w:color="000000" w:sz="4" w:val="single"/>
                    <w:right w:sz="4" w:val="nil"/>
                  </w:tcBorders>
                  <w:tcMar>
                    <w:left w:type="dxa" w:w="105"/>
                    <w:right w:type="dxa" w:w="105"/>
                  </w:tcMar>
                </w:tcPr>
                <w:p w14:paraId="6A010000">
                  <w:pPr>
                    <w:widowControl w:val="0"/>
                    <w:ind w:firstLine="90" w:left="-90"/>
                    <w:jc w:val="both"/>
                    <w:rPr>
                      <w:color w:themeColor="text1" w:val="000000"/>
                    </w:rPr>
                  </w:pPr>
                </w:p>
              </w:tc>
              <w:tc>
                <w:tcPr>
                  <w:tcW w:type="dxa" w:w="230"/>
                  <w:tcBorders>
                    <w:top w:sz="4" w:val="nil"/>
                    <w:left w:sz="4" w:val="nil"/>
                    <w:bottom w:sz="4" w:val="nil"/>
                    <w:right w:sz="4" w:val="nil"/>
                  </w:tcBorders>
                  <w:tcMar>
                    <w:left w:type="dxa" w:w="105"/>
                    <w:right w:type="dxa" w:w="105"/>
                  </w:tcMar>
                </w:tcPr>
                <w:p w14:paraId="6B010000">
                  <w:pPr>
                    <w:widowControl w:val="0"/>
                    <w:ind/>
                    <w:rPr>
                      <w:color w:themeColor="text1" w:val="000000"/>
                    </w:rPr>
                  </w:pPr>
                </w:p>
              </w:tc>
              <w:tc>
                <w:tcPr>
                  <w:tcW w:type="dxa" w:w="4856"/>
                  <w:tcBorders>
                    <w:top w:sz="4" w:val="nil"/>
                    <w:left w:sz="4" w:val="nil"/>
                    <w:bottom w:color="000000" w:sz="4" w:val="single"/>
                    <w:right w:sz="4" w:val="nil"/>
                  </w:tcBorders>
                  <w:tcMar>
                    <w:left w:type="dxa" w:w="105"/>
                    <w:right w:type="dxa" w:w="105"/>
                  </w:tcMar>
                </w:tcPr>
                <w:p w14:paraId="6C010000">
                  <w:pPr>
                    <w:widowControl w:val="0"/>
                    <w:ind/>
                    <w:rPr>
                      <w:color w:themeColor="text1" w:val="000000"/>
                    </w:rPr>
                  </w:pPr>
                </w:p>
              </w:tc>
            </w:tr>
            <w:tr>
              <w:tc>
                <w:tcPr>
                  <w:tcW w:type="dxa" w:w="4270"/>
                  <w:tcBorders>
                    <w:top w:color="000000" w:sz="4" w:val="single"/>
                    <w:left w:sz="4" w:val="nil"/>
                    <w:bottom w:sz="4" w:val="nil"/>
                    <w:right w:sz="4" w:val="nil"/>
                  </w:tcBorders>
                  <w:tcMar>
                    <w:left w:type="dxa" w:w="105"/>
                    <w:right w:type="dxa" w:w="105"/>
                  </w:tcMar>
                </w:tcPr>
                <w:p w14:paraId="6D010000">
                  <w:pPr>
                    <w:widowControl w:val="0"/>
                    <w:ind w:firstLine="90" w:left="-90"/>
                    <w:jc w:val="center"/>
                    <w:rPr>
                      <w:color w:themeColor="text1" w:val="000000"/>
                      <w:sz w:val="20"/>
                    </w:rPr>
                  </w:pPr>
                  <w:r>
                    <w:rPr>
                      <w:color w:themeColor="text1" w:val="000000"/>
                      <w:sz w:val="20"/>
                    </w:rPr>
                    <w:t>(Наименование должности руководителя Заявителя в соответствии с учредительными документами/иного уполномоченного лица</w:t>
                  </w:r>
                  <w:r>
                    <w:rPr>
                      <w:color w:themeColor="text1" w:val="000000"/>
                      <w:sz w:val="18"/>
                      <w:vertAlign w:val="superscript"/>
                    </w:rPr>
                    <w:footnoteReference w:id="2"/>
                  </w:r>
                  <w:r>
                    <w:rPr>
                      <w:color w:themeColor="text1" w:val="000000"/>
                      <w:sz w:val="20"/>
                    </w:rPr>
                    <w:t>)</w:t>
                  </w:r>
                </w:p>
              </w:tc>
              <w:tc>
                <w:tcPr>
                  <w:tcW w:type="dxa" w:w="230"/>
                  <w:tcBorders>
                    <w:top w:sz="4" w:val="nil"/>
                    <w:left w:sz="4" w:val="nil"/>
                    <w:bottom w:sz="4" w:val="nil"/>
                    <w:right w:sz="4" w:val="nil"/>
                  </w:tcBorders>
                  <w:tcMar>
                    <w:left w:type="dxa" w:w="105"/>
                    <w:right w:type="dxa" w:w="105"/>
                  </w:tcMar>
                </w:tcPr>
                <w:p w14:paraId="6E010000">
                  <w:pPr>
                    <w:widowControl w:val="0"/>
                    <w:ind/>
                    <w:rPr>
                      <w:color w:themeColor="text1" w:val="000000"/>
                      <w:sz w:val="20"/>
                    </w:rPr>
                  </w:pPr>
                </w:p>
              </w:tc>
              <w:tc>
                <w:tcPr>
                  <w:tcW w:type="dxa" w:w="4856"/>
                  <w:tcBorders>
                    <w:top w:color="000000" w:sz="4" w:val="single"/>
                    <w:left w:sz="4" w:val="nil"/>
                    <w:bottom w:sz="4" w:val="nil"/>
                    <w:right w:sz="4" w:val="nil"/>
                  </w:tcBorders>
                  <w:tcMar>
                    <w:left w:type="dxa" w:w="105"/>
                    <w:right w:type="dxa" w:w="105"/>
                  </w:tcMar>
                </w:tcPr>
                <w:p w14:paraId="6F010000">
                  <w:pPr>
                    <w:widowControl w:val="0"/>
                    <w:ind/>
                    <w:jc w:val="center"/>
                    <w:rPr>
                      <w:color w:themeColor="text1" w:val="000000"/>
                      <w:sz w:val="20"/>
                    </w:rPr>
                  </w:pPr>
                  <w:r>
                    <w:rPr>
                      <w:color w:themeColor="text1" w:val="000000"/>
                      <w:sz w:val="20"/>
                    </w:rPr>
                    <w:t>(Фамилия, имя, отчество (при наличии) лица, подписавшего заявку)</w:t>
                  </w:r>
                </w:p>
              </w:tc>
            </w:tr>
          </w:tbl>
          <w:p w14:paraId="70010000">
            <w:pPr>
              <w:rPr>
                <w:color w:themeColor="text1" w:val="000000"/>
                <w:sz w:val="18"/>
              </w:rPr>
            </w:pPr>
            <w:r>
              <w:rPr>
                <w:color w:themeColor="text1" w:val="000000"/>
              </w:rPr>
              <w:t xml:space="preserve">                                                                                                                           </w:t>
            </w:r>
          </w:p>
          <w:p w14:paraId="71010000">
            <w:pPr>
              <w:rPr>
                <w:color w:themeColor="text1" w:val="000000"/>
              </w:rPr>
            </w:pPr>
          </w:p>
        </w:tc>
      </w:tr>
    </w:tbl>
    <w:p w14:paraId="72010000">
      <w:pPr>
        <w:rPr>
          <w:color w:themeColor="text1" w:val="000000"/>
        </w:rPr>
      </w:pPr>
    </w:p>
    <w:p w14:paraId="73010000">
      <w:pPr>
        <w:widowControl w:val="1"/>
        <w:ind/>
        <w:jc w:val="both"/>
        <w:outlineLvl w:val="0"/>
        <w:rPr>
          <w:color w:themeColor="text1" w:val="000000"/>
        </w:rPr>
      </w:pPr>
      <w:r>
        <w:rPr>
          <w:color w:themeColor="text1" w:val="000000"/>
        </w:rPr>
        <w:t>«____» _________ 2025 года</w:t>
      </w:r>
    </w:p>
    <w:p w14:paraId="74010000">
      <w:pPr>
        <w:rPr>
          <w:color w:themeColor="text1" w:val="000000"/>
        </w:rPr>
      </w:pPr>
    </w:p>
    <w:p w14:paraId="75010000">
      <w:pPr>
        <w:rPr>
          <w:color w:themeColor="text1" w:val="000000"/>
        </w:rPr>
      </w:pPr>
    </w:p>
    <w:p w14:paraId="76010000">
      <w:pPr>
        <w:rPr>
          <w:color w:themeColor="text1" w:val="000000"/>
        </w:rPr>
      </w:pPr>
    </w:p>
    <w:p w14:paraId="77010000">
      <w:pPr>
        <w:sectPr>
          <w:headerReference r:id="rId14" w:type="default"/>
          <w:headerReference r:id="rId6" w:type="first"/>
          <w:headerReference r:id="rId16" w:type="even"/>
          <w:pgSz w:h="16838" w:orient="portrait" w:w="11906"/>
          <w:pgMar w:bottom="851" w:footer="709" w:gutter="0" w:header="709" w:left="1701" w:right="849" w:top="1134"/>
          <w:pgNumType w:start="1"/>
          <w:titlePg/>
        </w:sectPr>
      </w:pPr>
    </w:p>
    <w:p w14:paraId="78010000">
      <w:pPr>
        <w:widowControl w:val="0"/>
        <w:spacing w:line="250" w:lineRule="auto"/>
        <w:ind w:firstLine="709" w:left="4254"/>
        <w:rPr>
          <w:color w:themeColor="text1" w:val="000000"/>
        </w:rPr>
      </w:pPr>
      <w:r>
        <w:rPr>
          <w:color w:themeColor="text1" w:val="000000"/>
        </w:rPr>
        <w:t>Приложение № 2</w:t>
      </w:r>
    </w:p>
    <w:p w14:paraId="79010000">
      <w:pPr>
        <w:widowControl w:val="0"/>
        <w:ind w:left="4962"/>
        <w:rPr>
          <w:color w:themeColor="text1" w:val="000000"/>
          <w:sz w:val="32"/>
        </w:rPr>
      </w:pPr>
      <w:r>
        <w:rPr>
          <w:color w:themeColor="text1" w:val="000000"/>
        </w:rPr>
        <w:t xml:space="preserve">к Порядку предоставления в 2025 году субсидий субъектам деятельности в сфере промышленности в Санкт-Петербурге </w:t>
      </w:r>
      <w:r>
        <w:rPr>
          <w:color w:themeColor="text1" w:val="000000"/>
        </w:rPr>
        <w:br/>
      </w:r>
      <w:r>
        <w:rPr>
          <w:color w:themeColor="text1" w:val="000000"/>
        </w:rPr>
        <w:t xml:space="preserve">в целях возмещения части затрат организаций, связанных </w:t>
      </w:r>
      <w:r>
        <w:rPr>
          <w:color w:themeColor="text1" w:val="000000"/>
        </w:rPr>
        <w:br/>
      </w:r>
      <w:r>
        <w:rPr>
          <w:color w:themeColor="text1" w:val="000000"/>
        </w:rPr>
        <w:t>с осуществлением найма жилья сотрудникам из других регионов</w:t>
      </w:r>
      <w:r>
        <w:rPr>
          <w:color w:themeColor="text1" w:val="000000"/>
        </w:rPr>
        <w:br/>
      </w:r>
    </w:p>
    <w:p w14:paraId="7A010000">
      <w:pPr>
        <w:widowControl w:val="0"/>
        <w:ind w:left="4962"/>
        <w:rPr>
          <w:color w:themeColor="text1" w:val="000000"/>
          <w:sz w:val="32"/>
        </w:rPr>
      </w:pPr>
    </w:p>
    <w:p w14:paraId="7B010000">
      <w:pPr>
        <w:widowControl w:val="1"/>
        <w:ind/>
        <w:jc w:val="center"/>
        <w:rPr>
          <w:b w:val="1"/>
          <w:color w:themeColor="text1" w:val="000000"/>
        </w:rPr>
      </w:pPr>
      <w:r>
        <w:rPr>
          <w:b w:val="1"/>
          <w:color w:themeColor="text1" w:val="000000"/>
        </w:rPr>
        <w:t xml:space="preserve">ПЕРЕЧЕНЬ </w:t>
      </w:r>
    </w:p>
    <w:p w14:paraId="7C010000">
      <w:pPr>
        <w:widowControl w:val="1"/>
        <w:ind/>
        <w:jc w:val="center"/>
        <w:rPr>
          <w:b w:val="1"/>
          <w:color w:themeColor="text1" w:val="000000"/>
        </w:rPr>
      </w:pPr>
      <w:r>
        <w:rPr>
          <w:b w:val="1"/>
          <w:color w:themeColor="text1" w:val="000000"/>
        </w:rPr>
        <w:t xml:space="preserve">документов, представляемых в Комитет по промышленной политике, инновациям </w:t>
      </w:r>
      <w:r>
        <w:rPr>
          <w:b w:val="1"/>
          <w:color w:themeColor="text1" w:val="000000"/>
        </w:rPr>
        <w:br/>
      </w:r>
      <w:r>
        <w:rPr>
          <w:b w:val="1"/>
          <w:color w:themeColor="text1" w:val="000000"/>
        </w:rPr>
        <w:t xml:space="preserve">и торговле Санкт-Петербурга для участия в отборе на право получения в 2025 году субсидий субъектам деятельности в сфере промышленности в Санкт-Петербурге </w:t>
      </w:r>
      <w:r>
        <w:rPr>
          <w:b w:val="1"/>
          <w:color w:themeColor="text1" w:val="000000"/>
        </w:rPr>
        <w:br/>
      </w:r>
      <w:r>
        <w:rPr>
          <w:b w:val="1"/>
          <w:color w:themeColor="text1" w:val="000000"/>
        </w:rPr>
        <w:t xml:space="preserve">в целях возмещения части затрат организаций, связанных с осуществлением </w:t>
      </w:r>
      <w:r>
        <w:rPr>
          <w:b w:val="1"/>
          <w:color w:themeColor="text1" w:val="000000"/>
        </w:rPr>
        <w:br/>
      </w:r>
      <w:r>
        <w:rPr>
          <w:b w:val="1"/>
          <w:color w:themeColor="text1" w:val="000000"/>
        </w:rPr>
        <w:t xml:space="preserve">найма жилья сотрудникам из других регионов, </w:t>
      </w:r>
      <w:r>
        <w:rPr>
          <w:b w:val="1"/>
          <w:color w:themeColor="text1" w:val="000000"/>
        </w:rPr>
        <w:br/>
      </w:r>
      <w:r>
        <w:rPr>
          <w:b w:val="1"/>
          <w:color w:themeColor="text1" w:val="000000"/>
        </w:rPr>
        <w:t>и требования к указанным документам</w:t>
      </w:r>
    </w:p>
    <w:p w14:paraId="7D010000">
      <w:pPr>
        <w:widowControl w:val="1"/>
        <w:ind/>
        <w:jc w:val="center"/>
        <w:rPr>
          <w:b w:val="1"/>
          <w:color w:themeColor="text1" w:val="000000"/>
        </w:rPr>
      </w:pPr>
    </w:p>
    <w:p w14:paraId="7E010000">
      <w:pPr>
        <w:widowControl w:val="1"/>
        <w:ind/>
        <w:jc w:val="center"/>
        <w:rPr>
          <w:b w:val="1"/>
          <w:color w:themeColor="text1" w:val="000000"/>
        </w:rPr>
      </w:pPr>
    </w:p>
    <w:p w14:paraId="7F010000">
      <w:pPr>
        <w:pStyle w:val="Style_8"/>
        <w:widowControl w:val="1"/>
        <w:numPr>
          <w:ilvl w:val="0"/>
          <w:numId w:val="11"/>
        </w:numPr>
        <w:tabs>
          <w:tab w:leader="none" w:pos="1134" w:val="left"/>
        </w:tabs>
        <w:ind w:firstLine="567" w:left="0"/>
        <w:jc w:val="both"/>
        <w:rPr>
          <w:color w:themeColor="text1" w:val="000000"/>
        </w:rPr>
      </w:pPr>
      <w:r>
        <w:rPr>
          <w:color w:themeColor="text1" w:val="000000"/>
        </w:rPr>
        <w:t xml:space="preserve">Для участия в отборе на право получения в 2025 году субсидий субъектам деятельности в сфере промышленности в Санкт-Петербурге на возмещение части затрат организаций, связанных с осуществлением найма жилья сотрудникам из других регионов (далее соответственно – отбор, субсидии), </w:t>
      </w:r>
      <w:r>
        <w:t xml:space="preserve">субъект деятельности в сфере промышленности в Санкт-Петербурге (далее – участник отбора) вместе с заявкой на участие в отборе </w:t>
      </w:r>
      <w:r>
        <w:br/>
      </w:r>
      <w:r>
        <w:t>(далее – заявка)</w:t>
      </w:r>
      <w:r>
        <w:rPr>
          <w:color w:themeColor="text1" w:val="000000"/>
        </w:rPr>
        <w:t xml:space="preserve"> представляет скан-образы следующих документов:</w:t>
      </w:r>
    </w:p>
    <w:p w14:paraId="80010000">
      <w:pPr>
        <w:pStyle w:val="Style_8"/>
        <w:widowControl w:val="1"/>
        <w:numPr>
          <w:ilvl w:val="1"/>
          <w:numId w:val="11"/>
        </w:numPr>
        <w:tabs>
          <w:tab w:leader="none" w:pos="1134" w:val="left"/>
        </w:tabs>
        <w:ind w:firstLine="567" w:left="0"/>
        <w:jc w:val="both"/>
        <w:rPr>
          <w:color w:themeColor="text1" w:val="000000"/>
        </w:rPr>
      </w:pPr>
      <w:r>
        <w:rPr>
          <w:color w:themeColor="text1" w:val="000000"/>
        </w:rPr>
        <w:t>Учредительных документов участника отбора в актуальной редакции.</w:t>
      </w:r>
    </w:p>
    <w:p w14:paraId="81010000">
      <w:pPr>
        <w:pStyle w:val="Style_8"/>
        <w:widowControl w:val="1"/>
        <w:numPr>
          <w:ilvl w:val="1"/>
          <w:numId w:val="11"/>
        </w:numPr>
        <w:tabs>
          <w:tab w:leader="none" w:pos="1134" w:val="left"/>
        </w:tabs>
        <w:ind w:firstLine="567" w:left="0"/>
        <w:jc w:val="both"/>
        <w:rPr>
          <w:color w:themeColor="text1" w:val="000000"/>
        </w:rPr>
      </w:pPr>
      <w:r>
        <w:rPr>
          <w:color w:themeColor="text1" w:val="000000"/>
        </w:rPr>
        <w:t>Документов, подтверждающих назначение (избрание) на должность руководителя участника отбора, или документов, подтверждающих полномочия иного единоличного или коллегиального исполнительного органа участника отбора.</w:t>
      </w:r>
    </w:p>
    <w:p w14:paraId="82010000">
      <w:pPr>
        <w:pStyle w:val="Style_8"/>
        <w:widowControl w:val="1"/>
        <w:numPr>
          <w:ilvl w:val="1"/>
          <w:numId w:val="11"/>
        </w:numPr>
        <w:tabs>
          <w:tab w:leader="none" w:pos="1134" w:val="left"/>
        </w:tabs>
        <w:ind w:firstLine="567" w:left="0"/>
        <w:jc w:val="both"/>
        <w:rPr>
          <w:color w:themeColor="text1" w:val="000000"/>
        </w:rPr>
      </w:pPr>
      <w:r>
        <w:t xml:space="preserve">Расчета размера субсидии (далее – Расчет) по форме, установленной </w:t>
      </w:r>
      <w:r>
        <w:br/>
      </w:r>
      <w:r>
        <w:t>в приложении № 1 к настоящему Перечню.</w:t>
      </w:r>
    </w:p>
    <w:p w14:paraId="83010000">
      <w:pPr>
        <w:pStyle w:val="Style_8"/>
        <w:widowControl w:val="1"/>
        <w:numPr>
          <w:ilvl w:val="1"/>
          <w:numId w:val="11"/>
        </w:numPr>
        <w:tabs>
          <w:tab w:leader="none" w:pos="1134" w:val="left"/>
        </w:tabs>
        <w:ind w:firstLine="567" w:left="0"/>
        <w:jc w:val="both"/>
        <w:rPr>
          <w:color w:themeColor="text1" w:val="000000"/>
        </w:rPr>
      </w:pPr>
      <w:r>
        <w:t xml:space="preserve">Выписки из реестра акционеров с указанием долей ценных бумаг, учтенных </w:t>
      </w:r>
      <w:r>
        <w:br/>
      </w:r>
      <w:r>
        <w:t>на лицевом счете каждого акционера организации (для организации, являющейся акционерным обществом), выданной не ранее, чем за полгода до даты подачи заявки</w:t>
      </w:r>
      <w:r>
        <w:rPr>
          <w:color w:themeColor="text1" w:val="000000"/>
        </w:rPr>
        <w:t>.</w:t>
      </w:r>
      <w:r>
        <w:rPr>
          <w:i w:val="1"/>
          <w:color w:themeColor="text1" w:val="000000"/>
        </w:rPr>
        <w:t xml:space="preserve"> </w:t>
      </w:r>
    </w:p>
    <w:p w14:paraId="84010000">
      <w:pPr>
        <w:pStyle w:val="Style_8"/>
        <w:widowControl w:val="1"/>
        <w:numPr>
          <w:ilvl w:val="1"/>
          <w:numId w:val="11"/>
        </w:numPr>
        <w:tabs>
          <w:tab w:leader="none" w:pos="1134" w:val="left"/>
        </w:tabs>
        <w:ind w:firstLine="567" w:left="0"/>
        <w:jc w:val="both"/>
        <w:rPr>
          <w:color w:themeColor="text1" w:val="000000"/>
        </w:rPr>
      </w:pPr>
      <w:r>
        <w:t xml:space="preserve">Справки участника отбора в свободной форме, подтверждающей отсутствие </w:t>
      </w:r>
      <w:r>
        <w:br/>
      </w:r>
      <w:r>
        <w:t xml:space="preserve">у участника отбора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на дату не ранее </w:t>
      </w:r>
      <w:r>
        <w:br/>
      </w:r>
      <w:r>
        <w:rPr>
          <w:color w:themeColor="text1" w:val="000000"/>
        </w:rPr>
        <w:t>30 календарных дней до 1 числа месяца, в котором планируется проведение отбора.</w:t>
      </w:r>
    </w:p>
    <w:p w14:paraId="85010000">
      <w:pPr>
        <w:pStyle w:val="Style_8"/>
        <w:widowControl w:val="1"/>
        <w:numPr>
          <w:ilvl w:val="1"/>
          <w:numId w:val="11"/>
        </w:numPr>
        <w:tabs>
          <w:tab w:leader="none" w:pos="1134" w:val="left"/>
        </w:tabs>
        <w:ind w:firstLine="567" w:left="0"/>
        <w:jc w:val="both"/>
        <w:rPr>
          <w:color w:themeColor="text1" w:val="000000"/>
        </w:rPr>
      </w:pPr>
      <w:r>
        <w:rPr>
          <w:color w:themeColor="text1" w:val="000000"/>
        </w:rPr>
        <w:t xml:space="preserve">Справки по форме, утвержденной приказом Федеральной налоговой службы </w:t>
      </w:r>
      <w:r>
        <w:rPr>
          <w:color w:themeColor="text1" w:val="000000"/>
        </w:rPr>
        <w:br/>
      </w:r>
      <w:r>
        <w:rPr>
          <w:color w:themeColor="text1" w:val="000000"/>
        </w:rPr>
        <w:t xml:space="preserve">от 05.11.2024 № ЕД-7-8/987@ «Об утверждении формы справки о наличии </w:t>
      </w:r>
      <w:r>
        <w:rPr>
          <w:color w:themeColor="text1" w:val="000000"/>
        </w:rPr>
        <w:br/>
      </w:r>
      <w:r>
        <w:rPr>
          <w:color w:themeColor="text1" w:val="000000"/>
        </w:rPr>
        <w:t xml:space="preserve">по состоянию на дату формирования справки положительного, отрицательного </w:t>
      </w:r>
      <w:r>
        <w:rPr>
          <w:color w:themeColor="text1" w:val="000000"/>
        </w:rPr>
        <w:br/>
      </w:r>
      <w:r>
        <w:rPr>
          <w:color w:themeColor="text1" w:val="000000"/>
        </w:rPr>
        <w:t xml:space="preserve">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w:t>
      </w:r>
      <w:r>
        <w:rPr>
          <w:color w:themeColor="text1" w:val="000000"/>
        </w:rPr>
        <w:br/>
      </w:r>
      <w:r>
        <w:rPr>
          <w:color w:themeColor="text1" w:val="000000"/>
        </w:rPr>
        <w:t xml:space="preserve">в электронной форме», выданной участнику отбора налоговым органом на дату не ранее </w:t>
      </w:r>
      <w:r>
        <w:rPr>
          <w:color w:themeColor="text1" w:val="000000"/>
        </w:rPr>
        <w:br/>
      </w:r>
      <w:r>
        <w:rPr>
          <w:color w:themeColor="text1" w:val="000000"/>
        </w:rPr>
        <w:t>30 календарных дней до даты подачи заявки и документов.</w:t>
      </w:r>
    </w:p>
    <w:p w14:paraId="86010000">
      <w:pPr>
        <w:widowControl w:val="1"/>
        <w:tabs>
          <w:tab w:leader="none" w:pos="567" w:val="left"/>
        </w:tabs>
        <w:ind/>
        <w:jc w:val="both"/>
        <w:rPr>
          <w:color w:themeColor="text1" w:val="000000"/>
        </w:rPr>
      </w:pPr>
      <w:r>
        <w:rPr>
          <w:color w:themeColor="text1" w:val="000000"/>
        </w:rPr>
        <w:tab/>
      </w:r>
      <w:r>
        <w:rPr>
          <w:color w:themeColor="text1" w:val="000000"/>
        </w:rPr>
        <w:t>В случае если участник отбора не представил справку, указанную в настоящем пункте, Комитет по промышленной политике, инновациям и торговле Санкт-Петербурга 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w:t>
      </w:r>
    </w:p>
    <w:p w14:paraId="87010000">
      <w:pPr>
        <w:pStyle w:val="Style_8"/>
        <w:widowControl w:val="1"/>
        <w:numPr>
          <w:ilvl w:val="1"/>
          <w:numId w:val="11"/>
        </w:numPr>
        <w:tabs>
          <w:tab w:leader="none" w:pos="1134" w:val="left"/>
        </w:tabs>
        <w:ind w:firstLine="567" w:left="0"/>
        <w:jc w:val="both"/>
      </w:pPr>
      <w:r>
        <w:t xml:space="preserve">Расчета суммы налога на доходы физических лиц, исчисленной и удержанной налоговым агентом (форма 6-НДФЛ) за 2024 год, а также расчет по страховым взносам </w:t>
      </w:r>
      <w:r>
        <w:br/>
      </w:r>
      <w:r>
        <w:t xml:space="preserve">по форме, утвержденной приказом Федеральной налоговой службы Российской Федерации </w:t>
      </w:r>
      <w:r>
        <w:t>от 13.09.2024 № ЕД-7-11/739@ (без разделов, содержащих персональные данные физических лиц), с отметкой принявшего налогового органа.</w:t>
      </w:r>
    </w:p>
    <w:p w14:paraId="88010000">
      <w:pPr>
        <w:pStyle w:val="Style_8"/>
        <w:widowControl w:val="1"/>
        <w:numPr>
          <w:ilvl w:val="1"/>
          <w:numId w:val="11"/>
        </w:numPr>
        <w:tabs>
          <w:tab w:leader="none" w:pos="1134" w:val="left"/>
        </w:tabs>
        <w:ind w:firstLine="567" w:left="0"/>
        <w:jc w:val="both"/>
      </w:pPr>
      <w:r>
        <w:t xml:space="preserve">Справки участника отбора в свободной форме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w:t>
      </w:r>
      <w:r>
        <w:br/>
      </w:r>
      <w:r>
        <w:t xml:space="preserve">в соответствии со статьей 139 Трудового кодекса Российской Федерации, был в течение 2024 года не ниже размера минимальной заработной платы в Санкт-Петербурге, установленного региональным соглашением о минимальной заработной плате </w:t>
      </w:r>
      <w:r>
        <w:br/>
      </w:r>
      <w:r>
        <w:t>в Санкт-Петербурге на соответствующий период 2024 года.</w:t>
      </w:r>
    </w:p>
    <w:p w14:paraId="89010000">
      <w:pPr>
        <w:pStyle w:val="Style_8"/>
        <w:widowControl w:val="1"/>
        <w:numPr>
          <w:ilvl w:val="1"/>
          <w:numId w:val="11"/>
        </w:numPr>
        <w:tabs>
          <w:tab w:leader="none" w:pos="1134" w:val="left"/>
        </w:tabs>
        <w:ind w:firstLine="567" w:left="0"/>
        <w:jc w:val="both"/>
        <w:rPr>
          <w:color w:themeColor="text1" w:val="000000"/>
        </w:rPr>
      </w:pPr>
      <w:r>
        <w:t xml:space="preserve">Справки участника отбора (в свободной форме) с указанием следующей информации:  </w:t>
      </w:r>
    </w:p>
    <w:p w14:paraId="8A010000">
      <w:pPr>
        <w:widowControl w:val="1"/>
        <w:tabs>
          <w:tab w:leader="none" w:pos="1134" w:val="left"/>
        </w:tabs>
        <w:ind w:firstLine="567"/>
        <w:jc w:val="both"/>
      </w:pPr>
      <w:r>
        <w:t xml:space="preserve">краткая характеристика и история организации; </w:t>
      </w:r>
    </w:p>
    <w:p w14:paraId="8B010000">
      <w:pPr>
        <w:widowControl w:val="1"/>
        <w:tabs>
          <w:tab w:leader="none" w:pos="1134" w:val="left"/>
        </w:tabs>
        <w:ind w:firstLine="567"/>
        <w:jc w:val="both"/>
      </w:pPr>
      <w:r>
        <w:t>сведения о производимой продукции;</w:t>
      </w:r>
    </w:p>
    <w:p w14:paraId="8C010000">
      <w:pPr>
        <w:widowControl w:val="1"/>
        <w:tabs>
          <w:tab w:leader="none" w:pos="1134" w:val="left"/>
        </w:tabs>
        <w:ind w:firstLine="567"/>
        <w:jc w:val="both"/>
      </w:pPr>
      <w:r>
        <w:t xml:space="preserve">основные направления деятельности; </w:t>
      </w:r>
    </w:p>
    <w:p w14:paraId="8D010000">
      <w:pPr>
        <w:widowControl w:val="1"/>
        <w:tabs>
          <w:tab w:leader="none" w:pos="1134" w:val="left"/>
        </w:tabs>
        <w:ind w:firstLine="567"/>
        <w:jc w:val="both"/>
      </w:pPr>
      <w:r>
        <w:t xml:space="preserve">среднесписочная численность работников организации; </w:t>
      </w:r>
    </w:p>
    <w:p w14:paraId="8E010000">
      <w:pPr>
        <w:widowControl w:val="1"/>
        <w:tabs>
          <w:tab w:leader="none" w:pos="1134" w:val="left"/>
        </w:tabs>
        <w:ind w:firstLine="567"/>
        <w:jc w:val="both"/>
      </w:pPr>
      <w:r>
        <w:t xml:space="preserve">средняя заработная плата работников в организации (в тыс. руб.); </w:t>
      </w:r>
    </w:p>
    <w:p w14:paraId="8F010000">
      <w:pPr>
        <w:widowControl w:val="1"/>
        <w:tabs>
          <w:tab w:leader="none" w:pos="1134" w:val="left"/>
        </w:tabs>
        <w:ind w:firstLine="567"/>
        <w:jc w:val="both"/>
      </w:pPr>
      <w:r>
        <w:t xml:space="preserve">объем выпуска продукции (в тыс. руб.); </w:t>
      </w:r>
    </w:p>
    <w:p w14:paraId="90010000">
      <w:pPr>
        <w:widowControl w:val="1"/>
        <w:tabs>
          <w:tab w:leader="none" w:pos="1134" w:val="left"/>
        </w:tabs>
        <w:ind w:firstLine="567"/>
        <w:jc w:val="both"/>
      </w:pPr>
      <w:r>
        <w:t>объем налоговых отчислений, в том числе в бюджет Санкт-Петербурга (в тыс. руб.)</w:t>
      </w:r>
    </w:p>
    <w:p w14:paraId="91010000">
      <w:pPr>
        <w:widowControl w:val="1"/>
        <w:tabs>
          <w:tab w:leader="none" w:pos="1134" w:val="left"/>
        </w:tabs>
        <w:ind/>
        <w:jc w:val="both"/>
      </w:pPr>
      <w:r>
        <w:t xml:space="preserve">(количественные показатели указываются в динамике за три последние года, включая текущий год). </w:t>
      </w:r>
    </w:p>
    <w:p w14:paraId="92010000">
      <w:pPr>
        <w:pStyle w:val="Style_8"/>
        <w:widowControl w:val="1"/>
        <w:numPr>
          <w:ilvl w:val="1"/>
          <w:numId w:val="11"/>
        </w:numPr>
        <w:tabs>
          <w:tab w:leader="none" w:pos="1134" w:val="left"/>
        </w:tabs>
        <w:ind w:firstLine="567" w:left="0"/>
        <w:jc w:val="both"/>
        <w:rPr>
          <w:color w:themeColor="text1" w:val="000000"/>
        </w:rPr>
      </w:pPr>
      <w:r>
        <w:rPr>
          <w:color w:themeColor="text1" w:val="000000"/>
        </w:rPr>
        <w:t xml:space="preserve">Страниц документов, удостоверяющих личность сотрудников </w:t>
      </w:r>
      <w:r>
        <w:rPr>
          <w:color w:themeColor="text1" w:val="000000"/>
        </w:rPr>
        <w:br/>
      </w:r>
      <w:r>
        <w:rPr>
          <w:color w:themeColor="text1" w:val="000000"/>
        </w:rPr>
        <w:t xml:space="preserve">из других регионов, которым участником отбора была выплачена компенсация за наем жилого помещения (далее – компенсация) или предоставлено для проживания жилое помещение, которым участник отбора владеет на правах аренды, содержащих </w:t>
      </w:r>
      <w:r>
        <w:rPr>
          <w:color w:themeColor="text1" w:val="000000"/>
        </w:rPr>
        <w:br/>
      </w:r>
      <w:r>
        <w:rPr>
          <w:color w:themeColor="text1" w:val="000000"/>
        </w:rPr>
        <w:t>ФИО указанного сотрудника и адрес его регистрации по месту жительства.</w:t>
      </w:r>
    </w:p>
    <w:p w14:paraId="93010000">
      <w:pPr>
        <w:pStyle w:val="Style_8"/>
        <w:widowControl w:val="1"/>
        <w:numPr>
          <w:ilvl w:val="1"/>
          <w:numId w:val="11"/>
        </w:numPr>
        <w:tabs>
          <w:tab w:leader="none" w:pos="1134" w:val="left"/>
        </w:tabs>
        <w:ind w:firstLine="567" w:left="0"/>
        <w:jc w:val="both"/>
        <w:rPr>
          <w:color w:themeColor="text1" w:val="000000"/>
        </w:rPr>
      </w:pPr>
      <w:r>
        <w:rPr>
          <w:color w:themeColor="text1" w:val="000000"/>
        </w:rPr>
        <w:t xml:space="preserve">Договора найма жилого помещения, в том числе содержащего следующую информацию и(или) условия договора: ФИО нанимателя и </w:t>
      </w:r>
      <w:r>
        <w:rPr>
          <w:color w:themeColor="text1" w:val="000000"/>
        </w:rPr>
        <w:t>наймодателя</w:t>
      </w:r>
      <w:r>
        <w:rPr>
          <w:color w:themeColor="text1" w:val="000000"/>
        </w:rPr>
        <w:t xml:space="preserve"> жилого помещения или </w:t>
      </w:r>
      <w:r>
        <w:rPr>
          <w:color w:themeColor="text1" w:val="000000"/>
        </w:rPr>
        <w:t>управомоченного</w:t>
      </w:r>
      <w:r>
        <w:rPr>
          <w:color w:themeColor="text1" w:val="000000"/>
        </w:rPr>
        <w:t xml:space="preserve"> им лица (далее – </w:t>
      </w:r>
      <w:r>
        <w:rPr>
          <w:color w:themeColor="text1" w:val="000000"/>
        </w:rPr>
        <w:t>наймодатель</w:t>
      </w:r>
      <w:r>
        <w:rPr>
          <w:color w:themeColor="text1" w:val="000000"/>
        </w:rPr>
        <w:t xml:space="preserve">); основание права владения или распоряжения </w:t>
      </w:r>
      <w:r>
        <w:rPr>
          <w:color w:themeColor="text1" w:val="000000"/>
        </w:rPr>
        <w:t>наймодателем</w:t>
      </w:r>
      <w:r>
        <w:rPr>
          <w:color w:themeColor="text1" w:val="000000"/>
        </w:rPr>
        <w:t xml:space="preserve"> жилым помещением и реквизиты подтверждающего документа; адрес жилого помещения; срок найма жилого помещения; стоимость за наем жилого помещения без учеты оплаты за коммунальные услуги (предоставляется при найме жилых помещений сотрудниками из других регионов).</w:t>
      </w:r>
    </w:p>
    <w:p w14:paraId="94010000">
      <w:pPr>
        <w:pStyle w:val="Style_8"/>
        <w:widowControl w:val="1"/>
        <w:numPr>
          <w:ilvl w:val="1"/>
          <w:numId w:val="11"/>
        </w:numPr>
        <w:tabs>
          <w:tab w:leader="none" w:pos="1134" w:val="left"/>
        </w:tabs>
        <w:ind w:firstLine="567" w:left="0"/>
        <w:jc w:val="both"/>
        <w:rPr>
          <w:color w:themeColor="text1" w:val="000000"/>
        </w:rPr>
      </w:pPr>
      <w:r>
        <w:rPr>
          <w:color w:themeColor="text1" w:val="000000"/>
        </w:rPr>
        <w:t xml:space="preserve">Договора аренды жилого помещения, в том числе содержащего следующую информацию и(или) условия договора: ФИО или наименование арендатора </w:t>
      </w:r>
      <w:r>
        <w:rPr>
          <w:color w:themeColor="text1" w:val="000000"/>
        </w:rPr>
        <w:br/>
      </w:r>
      <w:r>
        <w:rPr>
          <w:color w:themeColor="text1" w:val="000000"/>
        </w:rPr>
        <w:t xml:space="preserve">и арендодателя или </w:t>
      </w:r>
      <w:r>
        <w:rPr>
          <w:color w:themeColor="text1" w:val="000000"/>
        </w:rPr>
        <w:t>управомоченного</w:t>
      </w:r>
      <w:r>
        <w:rPr>
          <w:color w:themeColor="text1" w:val="000000"/>
        </w:rPr>
        <w:t xml:space="preserve"> им лица; основание права владения </w:t>
      </w:r>
      <w:r>
        <w:rPr>
          <w:color w:themeColor="text1" w:val="000000"/>
        </w:rPr>
        <w:br/>
      </w:r>
      <w:r>
        <w:rPr>
          <w:color w:themeColor="text1" w:val="000000"/>
        </w:rPr>
        <w:t>или распоряжения арендодателем жилым помещением и реквизиты подтверждающего документа; адрес жилого помещения; срок аренды жилого помещения; стоимость аренды жилого помещения без учеты оплаты за коммунальные услуги (предоставляется при аренде жилых помещений участниками отбора для предоставления сотрудникам из других регионов в целях проживания).</w:t>
      </w:r>
    </w:p>
    <w:p w14:paraId="95010000">
      <w:pPr>
        <w:pStyle w:val="Style_8"/>
        <w:widowControl w:val="1"/>
        <w:numPr>
          <w:ilvl w:val="1"/>
          <w:numId w:val="11"/>
        </w:numPr>
        <w:tabs>
          <w:tab w:leader="none" w:pos="1134" w:val="left"/>
        </w:tabs>
        <w:ind w:firstLine="567" w:left="0"/>
        <w:jc w:val="both"/>
        <w:rPr>
          <w:color w:themeColor="text1" w:val="000000"/>
        </w:rPr>
      </w:pPr>
      <w:r>
        <w:rPr>
          <w:color w:themeColor="text1" w:val="000000"/>
        </w:rPr>
        <w:t>Актов передачи жилого помещения в наем или аренду.</w:t>
      </w:r>
    </w:p>
    <w:p w14:paraId="96010000">
      <w:pPr>
        <w:pStyle w:val="Style_8"/>
        <w:widowControl w:val="1"/>
        <w:numPr>
          <w:ilvl w:val="1"/>
          <w:numId w:val="11"/>
        </w:numPr>
        <w:tabs>
          <w:tab w:leader="none" w:pos="1134" w:val="left"/>
        </w:tabs>
        <w:ind w:firstLine="567" w:left="0"/>
        <w:jc w:val="both"/>
        <w:rPr>
          <w:color w:themeColor="text1" w:val="000000"/>
        </w:rPr>
      </w:pPr>
      <w:r>
        <w:rPr>
          <w:color w:themeColor="text1" w:val="000000"/>
        </w:rPr>
        <w:t xml:space="preserve">Документов, подтверждающих права </w:t>
      </w:r>
      <w:r>
        <w:rPr>
          <w:color w:themeColor="text1" w:val="000000"/>
        </w:rPr>
        <w:t>наймодателя</w:t>
      </w:r>
      <w:r>
        <w:rPr>
          <w:color w:themeColor="text1" w:val="000000"/>
        </w:rPr>
        <w:t xml:space="preserve"> или арендодателя </w:t>
      </w:r>
      <w:r>
        <w:rPr>
          <w:color w:themeColor="text1" w:val="000000"/>
        </w:rPr>
        <w:br/>
      </w:r>
      <w:r>
        <w:rPr>
          <w:color w:themeColor="text1" w:val="000000"/>
        </w:rPr>
        <w:t>на владение и распоряжение жилым помещением.</w:t>
      </w:r>
    </w:p>
    <w:p w14:paraId="97010000">
      <w:pPr>
        <w:pStyle w:val="Style_8"/>
        <w:widowControl w:val="1"/>
        <w:numPr>
          <w:ilvl w:val="1"/>
          <w:numId w:val="11"/>
        </w:numPr>
        <w:tabs>
          <w:tab w:leader="none" w:pos="1134" w:val="left"/>
        </w:tabs>
        <w:ind w:firstLine="567" w:left="0"/>
        <w:jc w:val="both"/>
        <w:rPr>
          <w:color w:themeColor="text1" w:val="000000"/>
          <w:spacing w:val="-2"/>
        </w:rPr>
      </w:pPr>
      <w:r>
        <w:rPr>
          <w:color w:themeColor="text1" w:val="000000"/>
        </w:rPr>
        <w:t xml:space="preserve">Платежных документов, подтверждающих выплату сотрудникам </w:t>
      </w:r>
      <w:r>
        <w:rPr>
          <w:color w:themeColor="text1" w:val="000000"/>
        </w:rPr>
        <w:br/>
      </w:r>
      <w:r>
        <w:rPr>
          <w:color w:themeColor="text1" w:val="000000"/>
        </w:rPr>
        <w:t xml:space="preserve">из других регионов компенсации и оплату сотрудником из другого региона найма жилого помещения или оплату участником отбора аренды жилого помещения, переданного </w:t>
      </w:r>
      <w:r>
        <w:rPr>
          <w:color w:themeColor="text1" w:val="000000"/>
        </w:rPr>
        <w:br/>
      </w:r>
      <w:r>
        <w:rPr>
          <w:color w:themeColor="text1" w:val="000000"/>
        </w:rPr>
        <w:t>для проживания сотруднику из другого региона.</w:t>
      </w:r>
    </w:p>
    <w:p w14:paraId="98010000">
      <w:pPr>
        <w:pStyle w:val="Style_8"/>
        <w:widowControl w:val="1"/>
        <w:numPr>
          <w:ilvl w:val="1"/>
          <w:numId w:val="11"/>
        </w:numPr>
        <w:tabs>
          <w:tab w:leader="none" w:pos="1134" w:val="left"/>
        </w:tabs>
        <w:ind w:firstLine="567" w:left="0"/>
        <w:jc w:val="both"/>
        <w:rPr>
          <w:color w:themeColor="text1" w:val="000000"/>
        </w:rPr>
      </w:pPr>
      <w:r>
        <w:rPr>
          <w:color w:themeColor="text1" w:val="000000"/>
          <w:spacing w:val="-2"/>
        </w:rPr>
        <w:t xml:space="preserve">Документа, содержащего условия выплат сотрудникам из других регионов компенсаций или условия предоставления им для проживания арендованных участником отбора </w:t>
      </w:r>
      <w:r>
        <w:rPr>
          <w:color w:themeColor="text1" w:val="000000"/>
        </w:rPr>
        <w:t>жилых помещений</w:t>
      </w:r>
      <w:r>
        <w:rPr>
          <w:color w:themeColor="text1" w:val="000000"/>
          <w:spacing w:val="-2"/>
        </w:rPr>
        <w:t xml:space="preserve"> (трудовой договор, коллективный договор или иной документ, включая соответствующий локальный нормативный акт участника отбора).</w:t>
      </w:r>
    </w:p>
    <w:p w14:paraId="99010000">
      <w:pPr>
        <w:pStyle w:val="Style_8"/>
        <w:widowControl w:val="1"/>
        <w:numPr>
          <w:ilvl w:val="1"/>
          <w:numId w:val="11"/>
        </w:numPr>
        <w:tabs>
          <w:tab w:leader="none" w:pos="1134" w:val="left"/>
        </w:tabs>
        <w:ind w:firstLine="567" w:left="0"/>
        <w:jc w:val="both"/>
        <w:rPr>
          <w:color w:themeColor="text1" w:val="000000"/>
        </w:rPr>
      </w:pPr>
      <w:r>
        <w:rPr>
          <w:color w:themeColor="text1" w:val="000000"/>
          <w:spacing w:val="-2"/>
        </w:rPr>
        <w:t xml:space="preserve">Согласия на обработку персональных данных сотрудника из другого региона, которому выплачивается компенсация или предоставляется для проживания арендованное </w:t>
      </w:r>
      <w:r>
        <w:rPr>
          <w:color w:themeColor="text1" w:val="000000"/>
          <w:spacing w:val="-2"/>
        </w:rPr>
        <w:t xml:space="preserve">участником отбора жилое помещение, по форме, установленной в приложении № 2 </w:t>
      </w:r>
      <w:r>
        <w:rPr>
          <w:color w:themeColor="text1" w:val="000000"/>
          <w:spacing w:val="-2"/>
        </w:rPr>
        <w:br/>
      </w:r>
      <w:r>
        <w:rPr>
          <w:color w:themeColor="text1" w:val="000000"/>
          <w:spacing w:val="-2"/>
        </w:rPr>
        <w:t>к настоящему Перечню.</w:t>
      </w:r>
    </w:p>
    <w:p w14:paraId="9A010000">
      <w:pPr>
        <w:pStyle w:val="Style_8"/>
        <w:widowControl w:val="1"/>
        <w:numPr>
          <w:ilvl w:val="0"/>
          <w:numId w:val="11"/>
        </w:numPr>
        <w:tabs>
          <w:tab w:leader="none" w:pos="1134" w:val="left"/>
        </w:tabs>
        <w:ind w:firstLine="567" w:left="0"/>
        <w:jc w:val="both"/>
        <w:rPr>
          <w:color w:themeColor="text1" w:val="000000"/>
        </w:rPr>
      </w:pPr>
      <w:r>
        <w:rPr>
          <w:color w:themeColor="text1" w:val="000000"/>
        </w:rPr>
        <w:t xml:space="preserve">Документы, указанные в пунктах 1.10. – 1.17 настоящего Перечня подаются </w:t>
      </w:r>
      <w:r>
        <w:rPr>
          <w:color w:themeColor="text1" w:val="000000"/>
        </w:rPr>
        <w:br/>
      </w:r>
      <w:r>
        <w:rPr>
          <w:color w:themeColor="text1" w:val="000000"/>
        </w:rPr>
        <w:t>на каждого сотрудника из другого региона в отдельности.</w:t>
      </w:r>
    </w:p>
    <w:p w14:paraId="9B010000">
      <w:pPr>
        <w:pStyle w:val="Style_8"/>
        <w:widowControl w:val="1"/>
        <w:tabs>
          <w:tab w:leader="none" w:pos="1134" w:val="left"/>
        </w:tabs>
        <w:ind w:firstLine="567" w:left="0"/>
        <w:jc w:val="both"/>
        <w:rPr>
          <w:color w:themeColor="text1" w:val="000000"/>
        </w:rPr>
      </w:pPr>
      <w:r>
        <w:rPr>
          <w:color w:themeColor="text1" w:val="000000"/>
        </w:rPr>
        <w:t xml:space="preserve">Документы, указанные в пунктах 1.1, 1.2, 1.4 – 1.17 настоящего Перечня, помимо имеющихся в них реквизитных подписей (при наличии) также заверяются усиленной квалифицированной электронной подписью (далее – УКЭП) лица, подающего заявление </w:t>
      </w:r>
      <w:r>
        <w:rPr>
          <w:color w:themeColor="text1" w:val="000000"/>
        </w:rPr>
        <w:br/>
      </w:r>
      <w:r>
        <w:rPr>
          <w:color w:themeColor="text1" w:val="000000"/>
        </w:rPr>
        <w:t>и документы.</w:t>
      </w:r>
    </w:p>
    <w:p w14:paraId="9C010000">
      <w:pPr>
        <w:widowControl w:val="1"/>
        <w:tabs>
          <w:tab w:leader="none" w:pos="1134" w:val="left"/>
        </w:tabs>
        <w:ind w:firstLine="567"/>
        <w:jc w:val="both"/>
        <w:rPr>
          <w:color w:themeColor="text1" w:val="000000"/>
        </w:rPr>
      </w:pPr>
      <w:r>
        <w:rPr>
          <w:color w:themeColor="text1" w:val="000000"/>
        </w:rPr>
        <w:t xml:space="preserve">Если заявка и документы подаются лицом, действующим от имени и в интересах участника отбора на основании доверенности или иного документа в соответствии </w:t>
      </w:r>
      <w:r>
        <w:rPr>
          <w:color w:themeColor="text1" w:val="000000"/>
        </w:rPr>
        <w:br/>
      </w:r>
      <w:r>
        <w:rPr>
          <w:color w:themeColor="text1" w:val="000000"/>
        </w:rPr>
        <w:t>с уставом участника отбора и (или)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14:paraId="9D010000">
      <w:pPr>
        <w:widowControl w:val="1"/>
        <w:tabs>
          <w:tab w:leader="none" w:pos="1134" w:val="left"/>
        </w:tabs>
        <w:ind w:firstLine="567"/>
        <w:jc w:val="both"/>
        <w:rPr>
          <w:color w:themeColor="text1" w:val="000000"/>
        </w:rPr>
      </w:pPr>
      <w:r>
        <w:rPr>
          <w:color w:themeColor="text1" w:val="000000"/>
        </w:rPr>
        <w:t xml:space="preserve">В случае представления документов на иностранном языке представляется скан-образ нотариально заверенного перевода данных документов на русский язык и лицензии </w:t>
      </w:r>
      <w:r>
        <w:rPr>
          <w:color w:themeColor="text1" w:val="000000"/>
        </w:rPr>
        <w:br/>
      </w:r>
      <w:r>
        <w:rPr>
          <w:color w:themeColor="text1" w:val="000000"/>
        </w:rPr>
        <w:t>на право нотариальной деятельности лица, осуществившего данный перевод.</w:t>
      </w:r>
    </w:p>
    <w:p w14:paraId="9E010000">
      <w:pPr>
        <w:widowControl w:val="0"/>
        <w:tabs>
          <w:tab w:leader="none" w:pos="1134" w:val="left"/>
        </w:tabs>
        <w:ind w:firstLine="567"/>
        <w:jc w:val="both"/>
      </w:pPr>
      <w:r>
        <w:t xml:space="preserve">В случае проведения расчетов (платежей) в иностранной валюте представляются скан-образы справок (в свободной форме) о курсе данной валюты по отношению </w:t>
      </w:r>
      <w:r>
        <w:br/>
      </w:r>
      <w:r>
        <w:t>к российскому рублю на дату осуществления платежа по данным Центрального банка Российской Федерации.</w:t>
      </w:r>
    </w:p>
    <w:p w14:paraId="9F010000">
      <w:pPr>
        <w:widowControl w:val="1"/>
        <w:tabs>
          <w:tab w:leader="none" w:pos="1134" w:val="left"/>
        </w:tabs>
        <w:ind w:firstLine="567"/>
        <w:jc w:val="both"/>
        <w:rPr>
          <w:color w:themeColor="text1" w:val="000000"/>
        </w:rPr>
      </w:pPr>
      <w:r>
        <w:rPr>
          <w:color w:themeColor="text1" w:val="000000"/>
        </w:rPr>
        <w:t xml:space="preserve">Участником отбора обеспечивается наличие согласия субъекта персональных данных (физического лица) на обработку его персональных данных в соответствии </w:t>
      </w:r>
      <w:r>
        <w:rPr>
          <w:color w:themeColor="text1" w:val="000000"/>
        </w:rPr>
        <w:br/>
      </w:r>
      <w:r>
        <w:rPr>
          <w:color w:themeColor="text1" w:val="000000"/>
        </w:rPr>
        <w:t xml:space="preserve">с Федеральным законом «О персональных данных» при передаче участником отбора </w:t>
      </w:r>
      <w:r>
        <w:rPr>
          <w:color w:themeColor="text1" w:val="000000"/>
        </w:rPr>
        <w:br/>
      </w:r>
      <w:r>
        <w:rPr>
          <w:color w:themeColor="text1" w:val="000000"/>
        </w:rPr>
        <w:t>в Комитет по промышленной политике, инновациям и торговле Санкт-Петербурга информации, содержащей персональные данные субъекта персональных данных.</w:t>
      </w:r>
    </w:p>
    <w:p w14:paraId="A0010000">
      <w:pPr>
        <w:pStyle w:val="Style_8"/>
        <w:widowControl w:val="1"/>
        <w:numPr>
          <w:ilvl w:val="0"/>
          <w:numId w:val="11"/>
        </w:numPr>
        <w:tabs>
          <w:tab w:leader="none" w:pos="1134" w:val="left"/>
        </w:tabs>
        <w:ind w:firstLine="567" w:left="0"/>
        <w:jc w:val="both"/>
        <w:rPr>
          <w:i w:val="1"/>
        </w:rPr>
      </w:pPr>
      <w:r>
        <w:t xml:space="preserve">Скан-образы представляемых отчетных документов должны соответствовать рекомендуемым форматам согласно инструкции, размещенной в АИС БП-ЭК, и иметь качество сканирования, достаточное для осуществления их анализа. </w:t>
      </w:r>
    </w:p>
    <w:p w14:paraId="A1010000">
      <w:pPr>
        <w:sectPr>
          <w:headerReference r:id="rId4" w:type="default"/>
          <w:headerReference r:id="rId2" w:type="first"/>
          <w:headerReference r:id="rId8" w:type="even"/>
          <w:pgSz w:h="16838" w:orient="portrait" w:w="11906"/>
          <w:pgMar w:bottom="851" w:footer="709" w:gutter="0" w:header="709" w:left="1701" w:right="849" w:top="1134"/>
          <w:pgNumType w:start="1"/>
          <w:titlePg/>
        </w:sectPr>
      </w:pPr>
    </w:p>
    <w:p w14:paraId="A2010000">
      <w:pPr>
        <w:widowControl w:val="1"/>
        <w:ind w:left="15026"/>
        <w:rPr>
          <w:color w:themeColor="text1" w:val="000000"/>
        </w:rPr>
      </w:pPr>
      <w:r>
        <w:rPr>
          <w:color w:themeColor="text1" w:val="000000"/>
        </w:rPr>
        <w:t>Приложение № 1</w:t>
      </w:r>
    </w:p>
    <w:p w14:paraId="A3010000">
      <w:pPr>
        <w:widowControl w:val="1"/>
        <w:ind w:left="15026"/>
        <w:rPr>
          <w:color w:themeColor="text1" w:val="000000"/>
        </w:rPr>
      </w:pPr>
      <w:r>
        <w:rPr>
          <w:color w:themeColor="text1" w:val="000000"/>
        </w:rPr>
        <w:t xml:space="preserve">к Перечню документов, </w:t>
      </w:r>
      <w:r>
        <w:rPr>
          <w:color w:themeColor="text1" w:val="000000"/>
        </w:rPr>
        <w:br/>
      </w:r>
      <w:r>
        <w:rPr>
          <w:color w:themeColor="text1" w:val="000000"/>
        </w:rPr>
        <w:t xml:space="preserve">представляемых в Комитет по промышленной политике, инновациям и торговле Санкт-Петербурга для участия </w:t>
      </w:r>
      <w:r>
        <w:rPr>
          <w:color w:themeColor="text1" w:val="000000"/>
        </w:rPr>
        <w:br/>
      </w:r>
      <w:r>
        <w:rPr>
          <w:color w:themeColor="text1" w:val="000000"/>
        </w:rPr>
        <w:t xml:space="preserve">в отборе на право получения в 2025 году субсидии субъектам деятельности в сфере промышленности </w:t>
      </w:r>
      <w:r>
        <w:rPr>
          <w:color w:themeColor="text1" w:val="000000"/>
        </w:rPr>
        <w:br/>
      </w:r>
      <w:r>
        <w:rPr>
          <w:color w:themeColor="text1" w:val="000000"/>
        </w:rPr>
        <w:t xml:space="preserve">в Санкт-Петербурге в целях возмещения части затрат организаций, связанных с осуществлением найма жилья сотрудникам из других регионов, и требованиям </w:t>
      </w:r>
      <w:r>
        <w:rPr>
          <w:color w:themeColor="text1" w:val="000000"/>
        </w:rPr>
        <w:br/>
      </w:r>
      <w:r>
        <w:rPr>
          <w:color w:themeColor="text1" w:val="000000"/>
        </w:rPr>
        <w:t>к указанным документам</w:t>
      </w:r>
    </w:p>
    <w:p w14:paraId="A4010000">
      <w:pPr>
        <w:widowControl w:val="1"/>
        <w:ind w:left="15026"/>
        <w:rPr>
          <w:color w:themeColor="text1" w:val="000000"/>
        </w:rPr>
      </w:pPr>
    </w:p>
    <w:p w14:paraId="A5010000">
      <w:pPr>
        <w:widowControl w:val="1"/>
        <w:ind w:left="15026"/>
        <w:rPr>
          <w:color w:themeColor="text1" w:val="000000"/>
        </w:rPr>
      </w:pPr>
      <w:r>
        <w:rPr>
          <w:color w:themeColor="text1" w:val="000000"/>
        </w:rPr>
        <w:t>(Форма)</w:t>
      </w:r>
    </w:p>
    <w:p w14:paraId="A6010000">
      <w:pPr>
        <w:widowControl w:val="1"/>
        <w:ind w:left="15026"/>
        <w:rPr>
          <w:color w:val="FF0000"/>
        </w:rPr>
      </w:pPr>
    </w:p>
    <w:p w14:paraId="A7010000">
      <w:pPr>
        <w:widowControl w:val="1"/>
        <w:ind w:right="56"/>
        <w:jc w:val="right"/>
        <w:rPr>
          <w:color w:themeColor="text1" w:val="000000"/>
        </w:rPr>
      </w:pPr>
    </w:p>
    <w:p w14:paraId="A8010000">
      <w:pPr>
        <w:widowControl w:val="1"/>
        <w:tabs>
          <w:tab w:leader="none" w:pos="15309" w:val="left"/>
        </w:tabs>
        <w:ind w:right="56"/>
        <w:jc w:val="center"/>
        <w:rPr>
          <w:color w:themeColor="text1" w:val="000000"/>
          <w:sz w:val="20"/>
        </w:rPr>
      </w:pPr>
      <w:r>
        <w:rPr>
          <w:color w:themeColor="text1" w:val="000000"/>
        </w:rPr>
        <w:tab/>
      </w:r>
      <w:r>
        <w:rPr>
          <w:color w:themeColor="text1" w:val="000000"/>
          <w:sz w:val="20"/>
        </w:rPr>
        <w:t xml:space="preserve"> </w:t>
      </w:r>
    </w:p>
    <w:p w14:paraId="A9010000">
      <w:pPr>
        <w:widowControl w:val="1"/>
        <w:ind/>
        <w:jc w:val="center"/>
        <w:rPr>
          <w:b w:val="1"/>
          <w:color w:themeColor="text1" w:val="000000"/>
        </w:rPr>
      </w:pPr>
    </w:p>
    <w:p w14:paraId="AA010000">
      <w:pPr>
        <w:widowControl w:val="1"/>
        <w:ind/>
        <w:jc w:val="center"/>
        <w:rPr>
          <w:b w:val="1"/>
          <w:color w:themeColor="text1" w:val="000000"/>
        </w:rPr>
      </w:pPr>
    </w:p>
    <w:p w14:paraId="AB010000">
      <w:pPr>
        <w:widowControl w:val="1"/>
        <w:ind/>
        <w:jc w:val="center"/>
        <w:rPr>
          <w:b w:val="1"/>
          <w:color w:themeColor="text1" w:val="000000"/>
        </w:rPr>
      </w:pPr>
      <w:r>
        <w:rPr>
          <w:b w:val="1"/>
          <w:color w:themeColor="text1" w:val="000000"/>
        </w:rPr>
        <w:t>РАСЧЕТ</w:t>
      </w:r>
    </w:p>
    <w:p w14:paraId="AC010000">
      <w:pPr>
        <w:widowControl w:val="0"/>
        <w:ind w:left="567"/>
        <w:jc w:val="center"/>
        <w:rPr>
          <w:b w:val="1"/>
          <w:color w:themeColor="text1" w:val="000000"/>
        </w:rPr>
      </w:pPr>
      <w:r>
        <w:rPr>
          <w:b w:val="1"/>
          <w:color w:themeColor="text1" w:val="000000"/>
        </w:rPr>
        <w:t xml:space="preserve">размера предоставляемых в 2025 году субсидий субъектам деятельности в сфере промышленности в Санкт-Петербурге </w:t>
      </w:r>
    </w:p>
    <w:p w14:paraId="AD010000">
      <w:pPr>
        <w:widowControl w:val="0"/>
        <w:ind w:left="567"/>
        <w:jc w:val="center"/>
        <w:rPr>
          <w:b w:val="1"/>
          <w:color w:themeColor="text1" w:val="000000"/>
        </w:rPr>
      </w:pPr>
      <w:r>
        <w:rPr>
          <w:b w:val="1"/>
          <w:color w:themeColor="text1" w:val="000000"/>
        </w:rPr>
        <w:t xml:space="preserve">в целях возмещения части затрат организаций, связанных с осуществлением найма жилья сотрудникам из других регионов </w:t>
      </w:r>
    </w:p>
    <w:p w14:paraId="AE010000">
      <w:pPr>
        <w:widowControl w:val="0"/>
        <w:ind w:left="567"/>
        <w:jc w:val="center"/>
        <w:rPr>
          <w:b w:val="1"/>
          <w:color w:themeColor="text1" w:val="000000"/>
        </w:rPr>
      </w:pPr>
    </w:p>
    <w:p w14:paraId="AF010000">
      <w:pPr>
        <w:widowControl w:val="1"/>
        <w:ind w:right="-286"/>
        <w:jc w:val="center"/>
        <w:rPr>
          <w:color w:themeColor="text1" w:val="000000"/>
        </w:rPr>
      </w:pPr>
    </w:p>
    <w:p w14:paraId="B0010000">
      <w:pPr>
        <w:widowControl w:val="1"/>
        <w:ind w:left="-5245" w:right="-286"/>
        <w:jc w:val="center"/>
        <w:rPr>
          <w:color w:themeColor="text1" w:val="000000"/>
        </w:rPr>
      </w:pPr>
    </w:p>
    <w:tbl>
      <w:tblPr>
        <w:tblStyle w:val="Style_12"/>
        <w:tblW w:type="auto" w:w="0"/>
        <w:tblInd w:type="dxa" w:w="-5"/>
        <w:tblLayout w:type="fixed"/>
      </w:tblPr>
      <w:tblGrid>
        <w:gridCol w:w="680"/>
        <w:gridCol w:w="4111"/>
        <w:gridCol w:w="2410"/>
        <w:gridCol w:w="3685"/>
        <w:gridCol w:w="4110"/>
        <w:gridCol w:w="3402"/>
        <w:gridCol w:w="2694"/>
      </w:tblGrid>
      <w:tr>
        <w:trPr>
          <w:trHeight w:hRule="atLeast" w:val="1302"/>
        </w:trPr>
        <w:tc>
          <w:tcPr>
            <w:tcW w:type="dxa" w:w="680"/>
            <w:vAlign w:val="center"/>
          </w:tcPr>
          <w:p w14:paraId="B1010000">
            <w:pPr>
              <w:widowControl w:val="1"/>
              <w:ind/>
              <w:jc w:val="center"/>
              <w:rPr>
                <w:rFonts w:ascii="Times New Roman" w:hAnsi="Times New Roman"/>
                <w:b w:val="1"/>
                <w:color w:themeColor="text1" w:val="000000"/>
              </w:rPr>
            </w:pPr>
            <w:r>
              <w:rPr>
                <w:rFonts w:ascii="Times New Roman" w:hAnsi="Times New Roman"/>
                <w:b w:val="1"/>
                <w:color w:themeColor="text1" w:val="000000"/>
              </w:rPr>
              <w:t>№ п/п</w:t>
            </w:r>
          </w:p>
        </w:tc>
        <w:tc>
          <w:tcPr>
            <w:tcW w:type="dxa" w:w="4111"/>
            <w:vAlign w:val="center"/>
          </w:tcPr>
          <w:p w14:paraId="B2010000">
            <w:pPr>
              <w:widowControl w:val="1"/>
              <w:ind/>
              <w:jc w:val="center"/>
              <w:rPr>
                <w:rFonts w:ascii="Times New Roman" w:hAnsi="Times New Roman"/>
                <w:b w:val="1"/>
                <w:color w:themeColor="text1" w:val="000000"/>
              </w:rPr>
            </w:pPr>
          </w:p>
          <w:p w14:paraId="B3010000">
            <w:pPr>
              <w:widowControl w:val="1"/>
              <w:ind/>
              <w:jc w:val="center"/>
              <w:rPr>
                <w:rFonts w:ascii="Times New Roman" w:hAnsi="Times New Roman"/>
                <w:b w:val="1"/>
                <w:color w:themeColor="text1" w:val="000000"/>
              </w:rPr>
            </w:pPr>
            <w:r>
              <w:rPr>
                <w:rFonts w:ascii="Times New Roman" w:hAnsi="Times New Roman"/>
                <w:b w:val="1"/>
                <w:color w:themeColor="text1" w:val="000000"/>
              </w:rPr>
              <w:t xml:space="preserve">ФИО сотрудника из другого региона, которому организацией выплачена компенсация за наем жилого помещения </w:t>
            </w:r>
            <w:r>
              <w:rPr>
                <w:rFonts w:ascii="Times New Roman" w:hAnsi="Times New Roman"/>
                <w:b w:val="1"/>
                <w:color w:themeColor="text1" w:val="000000"/>
              </w:rPr>
              <w:br/>
            </w:r>
            <w:r>
              <w:rPr>
                <w:rFonts w:ascii="Times New Roman" w:hAnsi="Times New Roman"/>
                <w:b w:val="1"/>
                <w:color w:themeColor="text1" w:val="000000"/>
              </w:rPr>
              <w:t xml:space="preserve">или предоставлено для </w:t>
            </w:r>
          </w:p>
          <w:p w14:paraId="B4010000">
            <w:pPr>
              <w:widowControl w:val="1"/>
              <w:ind/>
              <w:jc w:val="center"/>
              <w:rPr>
                <w:rFonts w:ascii="Times New Roman" w:hAnsi="Times New Roman"/>
                <w:b w:val="1"/>
                <w:color w:themeColor="text1" w:val="000000"/>
              </w:rPr>
            </w:pPr>
            <w:r>
              <w:rPr>
                <w:rFonts w:ascii="Times New Roman" w:hAnsi="Times New Roman"/>
                <w:b w:val="1"/>
                <w:color w:themeColor="text1" w:val="000000"/>
              </w:rPr>
              <w:t>проживания жилое помещение, арендованное организацией</w:t>
            </w:r>
          </w:p>
        </w:tc>
        <w:tc>
          <w:tcPr>
            <w:tcW w:type="dxa" w:w="2410"/>
            <w:shd w:fill="auto" w:val="clear"/>
            <w:vAlign w:val="center"/>
          </w:tcPr>
          <w:p w14:paraId="B5010000">
            <w:pPr>
              <w:widowControl w:val="1"/>
              <w:ind/>
              <w:jc w:val="center"/>
              <w:rPr>
                <w:rFonts w:ascii="Times New Roman" w:hAnsi="Times New Roman"/>
                <w:b w:val="1"/>
                <w:color w:themeColor="text1" w:val="000000"/>
              </w:rPr>
            </w:pPr>
            <w:r>
              <w:rPr>
                <w:rFonts w:ascii="Times New Roman" w:hAnsi="Times New Roman"/>
                <w:b w:val="1"/>
                <w:color w:themeColor="text1" w:val="000000"/>
              </w:rPr>
              <w:t>Расходный период*</w:t>
            </w:r>
          </w:p>
        </w:tc>
        <w:tc>
          <w:tcPr>
            <w:tcW w:type="dxa" w:w="3685"/>
            <w:vAlign w:val="center"/>
          </w:tcPr>
          <w:p w14:paraId="B6010000">
            <w:pPr>
              <w:widowControl w:val="1"/>
              <w:ind/>
              <w:jc w:val="center"/>
              <w:rPr>
                <w:rFonts w:ascii="Times New Roman" w:hAnsi="Times New Roman"/>
                <w:b w:val="1"/>
                <w:color w:themeColor="text1" w:val="000000"/>
              </w:rPr>
            </w:pPr>
          </w:p>
          <w:p w14:paraId="B7010000">
            <w:pPr>
              <w:widowControl w:val="1"/>
              <w:ind/>
              <w:jc w:val="center"/>
              <w:rPr>
                <w:rFonts w:ascii="Times New Roman" w:hAnsi="Times New Roman"/>
                <w:b w:val="1"/>
                <w:color w:themeColor="text1" w:val="000000"/>
              </w:rPr>
            </w:pPr>
          </w:p>
          <w:p w14:paraId="B8010000">
            <w:pPr>
              <w:widowControl w:val="1"/>
              <w:ind/>
              <w:jc w:val="center"/>
              <w:rPr>
                <w:rFonts w:ascii="Times New Roman" w:hAnsi="Times New Roman"/>
                <w:b w:val="1"/>
                <w:color w:themeColor="text1" w:val="000000"/>
              </w:rPr>
            </w:pPr>
            <w:r>
              <w:rPr>
                <w:rFonts w:ascii="Times New Roman" w:hAnsi="Times New Roman"/>
                <w:b w:val="1"/>
                <w:color w:themeColor="text1" w:val="000000"/>
              </w:rPr>
              <w:t xml:space="preserve">Реквизиты договора найма </w:t>
            </w:r>
          </w:p>
          <w:p w14:paraId="B9010000">
            <w:pPr>
              <w:widowControl w:val="1"/>
              <w:ind/>
              <w:jc w:val="center"/>
              <w:rPr>
                <w:rFonts w:ascii="Times New Roman" w:hAnsi="Times New Roman"/>
                <w:b w:val="1"/>
                <w:color w:themeColor="text1" w:val="000000"/>
              </w:rPr>
            </w:pPr>
            <w:r>
              <w:rPr>
                <w:rFonts w:ascii="Times New Roman" w:hAnsi="Times New Roman"/>
                <w:b w:val="1"/>
                <w:color w:themeColor="text1" w:val="000000"/>
              </w:rPr>
              <w:t>или договора аренды жилого помещения</w:t>
            </w:r>
          </w:p>
        </w:tc>
        <w:tc>
          <w:tcPr>
            <w:tcW w:type="dxa" w:w="4110"/>
            <w:vAlign w:val="center"/>
          </w:tcPr>
          <w:p w14:paraId="BA010000">
            <w:pPr>
              <w:widowControl w:val="1"/>
              <w:ind/>
              <w:jc w:val="center"/>
              <w:rPr>
                <w:rFonts w:ascii="Times New Roman" w:hAnsi="Times New Roman"/>
                <w:b w:val="1"/>
                <w:color w:themeColor="text1" w:val="000000"/>
              </w:rPr>
            </w:pPr>
            <w:r>
              <w:rPr>
                <w:rFonts w:ascii="Times New Roman" w:hAnsi="Times New Roman"/>
                <w:b w:val="1"/>
                <w:color w:themeColor="text1" w:val="000000"/>
              </w:rPr>
              <w:t xml:space="preserve">Размер платы за наем жилого помещения или арендной платы </w:t>
            </w:r>
            <w:r>
              <w:rPr>
                <w:rFonts w:ascii="Times New Roman" w:hAnsi="Times New Roman"/>
                <w:b w:val="1"/>
                <w:color w:themeColor="text1" w:val="000000"/>
              </w:rPr>
              <w:br/>
            </w:r>
            <w:r>
              <w:rPr>
                <w:rFonts w:ascii="Times New Roman" w:hAnsi="Times New Roman"/>
                <w:b w:val="1"/>
                <w:color w:themeColor="text1" w:val="000000"/>
              </w:rPr>
              <w:t xml:space="preserve">в месяц без учета </w:t>
            </w:r>
          </w:p>
          <w:p w14:paraId="BB010000">
            <w:pPr>
              <w:widowControl w:val="1"/>
              <w:ind/>
              <w:jc w:val="center"/>
              <w:rPr>
                <w:rFonts w:ascii="Times New Roman" w:hAnsi="Times New Roman"/>
                <w:b w:val="1"/>
                <w:color w:themeColor="text1" w:val="000000"/>
              </w:rPr>
            </w:pPr>
            <w:r>
              <w:rPr>
                <w:rFonts w:ascii="Times New Roman" w:hAnsi="Times New Roman"/>
                <w:b w:val="1"/>
                <w:color w:themeColor="text1" w:val="000000"/>
              </w:rPr>
              <w:t>коммунальных платежей</w:t>
            </w:r>
          </w:p>
          <w:p w14:paraId="BC010000">
            <w:pPr>
              <w:widowControl w:val="1"/>
              <w:ind/>
              <w:jc w:val="center"/>
              <w:rPr>
                <w:rFonts w:ascii="Times New Roman" w:hAnsi="Times New Roman"/>
                <w:color w:themeColor="text1" w:val="000000"/>
              </w:rPr>
            </w:pPr>
            <w:r>
              <w:rPr>
                <w:rFonts w:ascii="Times New Roman" w:hAnsi="Times New Roman"/>
                <w:b w:val="1"/>
                <w:color w:themeColor="text1" w:val="000000"/>
              </w:rPr>
              <w:t>(тыс. руб.)</w:t>
            </w:r>
          </w:p>
        </w:tc>
        <w:tc>
          <w:tcPr>
            <w:tcW w:type="dxa" w:w="3402"/>
            <w:vAlign w:val="center"/>
          </w:tcPr>
          <w:p w14:paraId="BD010000">
            <w:pPr>
              <w:widowControl w:val="1"/>
              <w:ind/>
              <w:jc w:val="center"/>
              <w:rPr>
                <w:rFonts w:ascii="Times New Roman" w:hAnsi="Times New Roman"/>
                <w:b w:val="1"/>
                <w:color w:themeColor="text1" w:val="000000"/>
              </w:rPr>
            </w:pPr>
          </w:p>
          <w:p w14:paraId="BE010000">
            <w:pPr>
              <w:widowControl w:val="1"/>
              <w:ind/>
              <w:jc w:val="center"/>
              <w:rPr>
                <w:rFonts w:ascii="Times New Roman" w:hAnsi="Times New Roman"/>
                <w:b w:val="1"/>
                <w:color w:themeColor="text1" w:val="000000"/>
              </w:rPr>
            </w:pPr>
            <w:r>
              <w:rPr>
                <w:rFonts w:ascii="Times New Roman" w:hAnsi="Times New Roman"/>
                <w:b w:val="1"/>
                <w:color w:themeColor="text1" w:val="000000"/>
              </w:rPr>
              <w:t xml:space="preserve">Количество оплаченных месяцев по договору найма или договору аренды жилого помещения </w:t>
            </w:r>
          </w:p>
          <w:p w14:paraId="BF010000">
            <w:pPr>
              <w:widowControl w:val="1"/>
              <w:ind/>
              <w:jc w:val="center"/>
              <w:rPr>
                <w:rFonts w:ascii="Times New Roman" w:hAnsi="Times New Roman"/>
                <w:b w:val="1"/>
                <w:color w:themeColor="text1" w:val="000000"/>
              </w:rPr>
            </w:pPr>
            <w:r>
              <w:rPr>
                <w:rFonts w:ascii="Times New Roman" w:hAnsi="Times New Roman"/>
                <w:b w:val="1"/>
                <w:color w:themeColor="text1" w:val="000000"/>
              </w:rPr>
              <w:t>(без учета авансовых платежей за будущие месяцы)</w:t>
            </w:r>
          </w:p>
          <w:p w14:paraId="C0010000">
            <w:pPr>
              <w:widowControl w:val="1"/>
              <w:ind/>
              <w:jc w:val="center"/>
              <w:rPr>
                <w:rFonts w:ascii="Times New Roman" w:hAnsi="Times New Roman"/>
                <w:i w:val="1"/>
                <w:color w:themeColor="text1" w:val="000000"/>
              </w:rPr>
            </w:pPr>
          </w:p>
        </w:tc>
        <w:tc>
          <w:tcPr>
            <w:tcW w:type="dxa" w:w="2694"/>
            <w:shd w:fill="auto" w:val="clear"/>
            <w:vAlign w:val="center"/>
          </w:tcPr>
          <w:p w14:paraId="C1010000">
            <w:pPr>
              <w:widowControl w:val="1"/>
              <w:ind/>
              <w:jc w:val="center"/>
              <w:rPr>
                <w:rFonts w:ascii="Times New Roman" w:hAnsi="Times New Roman"/>
                <w:b w:val="1"/>
                <w:color w:themeColor="text1" w:val="000000"/>
              </w:rPr>
            </w:pPr>
            <w:r>
              <w:rPr>
                <w:rFonts w:ascii="Times New Roman" w:hAnsi="Times New Roman"/>
                <w:b w:val="1"/>
                <w:color w:themeColor="text1" w:val="000000"/>
              </w:rPr>
              <w:t xml:space="preserve">Размер субсидии </w:t>
            </w:r>
            <w:r>
              <w:rPr>
                <w:rFonts w:ascii="Times New Roman" w:hAnsi="Times New Roman"/>
                <w:b w:val="1"/>
                <w:color w:themeColor="text1" w:val="000000"/>
              </w:rPr>
              <w:br/>
            </w:r>
            <w:r>
              <w:rPr>
                <w:rFonts w:ascii="Times New Roman" w:hAnsi="Times New Roman"/>
                <w:b w:val="1"/>
                <w:color w:themeColor="text1" w:val="000000"/>
              </w:rPr>
              <w:t xml:space="preserve">из расчета 33,3 % затрат за наем </w:t>
            </w:r>
            <w:r>
              <w:rPr>
                <w:rFonts w:ascii="Times New Roman" w:hAnsi="Times New Roman"/>
                <w:b w:val="1"/>
                <w:color w:themeColor="text1" w:val="000000"/>
              </w:rPr>
              <w:br/>
            </w:r>
            <w:r>
              <w:rPr>
                <w:rFonts w:ascii="Times New Roman" w:hAnsi="Times New Roman"/>
                <w:b w:val="1"/>
                <w:color w:themeColor="text1" w:val="000000"/>
              </w:rPr>
              <w:t>или аренду жилого помещения**, руб.</w:t>
            </w:r>
          </w:p>
          <w:p w14:paraId="C2010000">
            <w:pPr>
              <w:widowControl w:val="1"/>
              <w:ind/>
              <w:jc w:val="center"/>
              <w:rPr>
                <w:rFonts w:ascii="Times New Roman" w:hAnsi="Times New Roman"/>
                <w:i w:val="1"/>
                <w:color w:themeColor="text1" w:val="000000"/>
              </w:rPr>
            </w:pPr>
            <w:r>
              <w:rPr>
                <w:rFonts w:ascii="Times New Roman" w:hAnsi="Times New Roman"/>
                <w:b w:val="1"/>
                <w:color w:themeColor="text1" w:val="000000"/>
              </w:rPr>
              <w:t xml:space="preserve">но не более </w:t>
            </w:r>
            <w:r>
              <w:rPr>
                <w:rFonts w:ascii="Times New Roman" w:hAnsi="Times New Roman"/>
                <w:b w:val="1"/>
                <w:color w:themeColor="text1" w:val="000000"/>
              </w:rPr>
              <w:br/>
            </w:r>
            <w:r>
              <w:rPr>
                <w:rFonts w:ascii="Times New Roman" w:hAnsi="Times New Roman"/>
                <w:b w:val="1"/>
                <w:color w:themeColor="text1" w:val="000000"/>
              </w:rPr>
              <w:t xml:space="preserve">12 </w:t>
            </w:r>
            <w:r>
              <w:rPr>
                <w:rFonts w:ascii="Times New Roman" w:hAnsi="Times New Roman"/>
                <w:b w:val="1"/>
                <w:color w:themeColor="text1" w:val="000000"/>
              </w:rPr>
              <w:t>млн.руб</w:t>
            </w:r>
            <w:r>
              <w:rPr>
                <w:rFonts w:ascii="Times New Roman" w:hAnsi="Times New Roman"/>
                <w:b w:val="1"/>
                <w:color w:themeColor="text1" w:val="000000"/>
              </w:rPr>
              <w:t>.</w:t>
            </w:r>
          </w:p>
        </w:tc>
      </w:tr>
      <w:tr>
        <w:trPr>
          <w:trHeight w:hRule="atLeast" w:val="429"/>
        </w:trPr>
        <w:tc>
          <w:tcPr>
            <w:tcW w:type="dxa" w:w="680"/>
          </w:tcPr>
          <w:p w14:paraId="C3010000">
            <w:pPr>
              <w:widowControl w:val="1"/>
              <w:ind/>
              <w:jc w:val="center"/>
              <w:rPr>
                <w:rFonts w:ascii="Times New Roman" w:hAnsi="Times New Roman"/>
                <w:b w:val="1"/>
                <w:color w:themeColor="text1" w:val="000000"/>
              </w:rPr>
            </w:pPr>
            <w:r>
              <w:rPr>
                <w:rFonts w:ascii="Times New Roman" w:hAnsi="Times New Roman"/>
                <w:b w:val="1"/>
                <w:color w:themeColor="text1" w:val="000000"/>
              </w:rPr>
              <w:t>1</w:t>
            </w:r>
          </w:p>
        </w:tc>
        <w:tc>
          <w:tcPr>
            <w:tcW w:type="dxa" w:w="4111"/>
          </w:tcPr>
          <w:p w14:paraId="C4010000">
            <w:pPr>
              <w:widowControl w:val="1"/>
              <w:ind/>
              <w:jc w:val="center"/>
              <w:rPr>
                <w:rFonts w:ascii="Times New Roman" w:hAnsi="Times New Roman"/>
                <w:b w:val="1"/>
                <w:color w:themeColor="text1" w:val="000000"/>
              </w:rPr>
            </w:pPr>
            <w:r>
              <w:rPr>
                <w:rFonts w:ascii="Times New Roman" w:hAnsi="Times New Roman"/>
                <w:b w:val="1"/>
                <w:color w:themeColor="text1" w:val="000000"/>
              </w:rPr>
              <w:t>2</w:t>
            </w:r>
          </w:p>
        </w:tc>
        <w:tc>
          <w:tcPr>
            <w:tcW w:type="dxa" w:w="2410"/>
          </w:tcPr>
          <w:p w14:paraId="C5010000">
            <w:pPr>
              <w:widowControl w:val="1"/>
              <w:ind/>
              <w:jc w:val="center"/>
              <w:rPr>
                <w:rFonts w:ascii="Times New Roman" w:hAnsi="Times New Roman"/>
                <w:b w:val="1"/>
                <w:color w:themeColor="text1" w:val="000000"/>
              </w:rPr>
            </w:pPr>
            <w:r>
              <w:rPr>
                <w:rFonts w:ascii="Times New Roman" w:hAnsi="Times New Roman"/>
                <w:b w:val="1"/>
                <w:color w:themeColor="text1" w:val="000000"/>
              </w:rPr>
              <w:t>3</w:t>
            </w:r>
          </w:p>
        </w:tc>
        <w:tc>
          <w:tcPr>
            <w:tcW w:type="dxa" w:w="3685"/>
          </w:tcPr>
          <w:p w14:paraId="C6010000">
            <w:pPr>
              <w:widowControl w:val="1"/>
              <w:ind/>
              <w:jc w:val="center"/>
              <w:rPr>
                <w:rFonts w:ascii="Times New Roman" w:hAnsi="Times New Roman"/>
                <w:b w:val="1"/>
                <w:color w:themeColor="text1" w:val="000000"/>
              </w:rPr>
            </w:pPr>
            <w:r>
              <w:rPr>
                <w:rFonts w:ascii="Times New Roman" w:hAnsi="Times New Roman"/>
                <w:b w:val="1"/>
                <w:color w:themeColor="text1" w:val="000000"/>
              </w:rPr>
              <w:t>4</w:t>
            </w:r>
          </w:p>
        </w:tc>
        <w:tc>
          <w:tcPr>
            <w:tcW w:type="dxa" w:w="4110"/>
          </w:tcPr>
          <w:p w14:paraId="C7010000">
            <w:pPr>
              <w:widowControl w:val="1"/>
              <w:ind/>
              <w:jc w:val="center"/>
              <w:rPr>
                <w:rFonts w:ascii="Times New Roman" w:hAnsi="Times New Roman"/>
                <w:b w:val="1"/>
                <w:color w:themeColor="text1" w:val="000000"/>
              </w:rPr>
            </w:pPr>
            <w:r>
              <w:rPr>
                <w:rFonts w:ascii="Times New Roman" w:hAnsi="Times New Roman"/>
                <w:b w:val="1"/>
                <w:color w:themeColor="text1" w:val="000000"/>
              </w:rPr>
              <w:t>5</w:t>
            </w:r>
          </w:p>
        </w:tc>
        <w:tc>
          <w:tcPr>
            <w:tcW w:type="dxa" w:w="3402"/>
          </w:tcPr>
          <w:p w14:paraId="C8010000">
            <w:pPr>
              <w:widowControl w:val="1"/>
              <w:ind/>
              <w:jc w:val="center"/>
              <w:rPr>
                <w:rFonts w:ascii="Times New Roman" w:hAnsi="Times New Roman"/>
                <w:b w:val="1"/>
                <w:color w:themeColor="text1" w:val="000000"/>
              </w:rPr>
            </w:pPr>
            <w:r>
              <w:rPr>
                <w:rFonts w:ascii="Times New Roman" w:hAnsi="Times New Roman"/>
                <w:b w:val="1"/>
                <w:color w:themeColor="text1" w:val="000000"/>
              </w:rPr>
              <w:t>6</w:t>
            </w:r>
          </w:p>
        </w:tc>
        <w:tc>
          <w:tcPr>
            <w:tcW w:type="dxa" w:w="2694"/>
          </w:tcPr>
          <w:p w14:paraId="C9010000">
            <w:pPr>
              <w:widowControl w:val="1"/>
              <w:ind/>
              <w:jc w:val="center"/>
              <w:rPr>
                <w:rFonts w:ascii="Times New Roman" w:hAnsi="Times New Roman"/>
                <w:b w:val="1"/>
                <w:color w:themeColor="text1" w:val="000000"/>
              </w:rPr>
            </w:pPr>
            <w:r>
              <w:rPr>
                <w:rFonts w:ascii="Times New Roman" w:hAnsi="Times New Roman"/>
                <w:b w:val="1"/>
                <w:color w:themeColor="text1" w:val="000000"/>
              </w:rPr>
              <w:t>7</w:t>
            </w:r>
          </w:p>
        </w:tc>
      </w:tr>
      <w:tr>
        <w:trPr>
          <w:trHeight w:hRule="atLeast" w:val="429"/>
        </w:trPr>
        <w:tc>
          <w:tcPr>
            <w:tcW w:type="dxa" w:w="680"/>
          </w:tcPr>
          <w:p w14:paraId="CA010000">
            <w:pPr>
              <w:widowControl w:val="1"/>
              <w:ind/>
              <w:jc w:val="center"/>
              <w:rPr>
                <w:b w:val="1"/>
                <w:color w:themeColor="text1" w:val="000000"/>
              </w:rPr>
            </w:pPr>
          </w:p>
        </w:tc>
        <w:tc>
          <w:tcPr>
            <w:tcW w:type="dxa" w:w="4111"/>
          </w:tcPr>
          <w:p w14:paraId="CB010000">
            <w:pPr>
              <w:widowControl w:val="1"/>
              <w:ind/>
              <w:jc w:val="center"/>
              <w:rPr>
                <w:b w:val="1"/>
                <w:color w:themeColor="text1" w:val="000000"/>
              </w:rPr>
            </w:pPr>
          </w:p>
        </w:tc>
        <w:tc>
          <w:tcPr>
            <w:tcW w:type="dxa" w:w="2410"/>
          </w:tcPr>
          <w:p w14:paraId="CC010000">
            <w:pPr>
              <w:widowControl w:val="1"/>
              <w:ind/>
              <w:jc w:val="center"/>
              <w:rPr>
                <w:b w:val="1"/>
                <w:color w:themeColor="text1" w:val="000000"/>
              </w:rPr>
            </w:pPr>
          </w:p>
        </w:tc>
        <w:tc>
          <w:tcPr>
            <w:tcW w:type="dxa" w:w="3685"/>
          </w:tcPr>
          <w:p w14:paraId="CD010000">
            <w:pPr>
              <w:widowControl w:val="1"/>
              <w:ind/>
              <w:jc w:val="center"/>
              <w:rPr>
                <w:b w:val="1"/>
                <w:color w:themeColor="text1" w:val="000000"/>
              </w:rPr>
            </w:pPr>
          </w:p>
        </w:tc>
        <w:tc>
          <w:tcPr>
            <w:tcW w:type="dxa" w:w="4110"/>
          </w:tcPr>
          <w:p w14:paraId="CE010000">
            <w:pPr>
              <w:widowControl w:val="1"/>
              <w:ind/>
              <w:jc w:val="center"/>
              <w:rPr>
                <w:b w:val="1"/>
                <w:color w:themeColor="text1" w:val="000000"/>
              </w:rPr>
            </w:pPr>
          </w:p>
        </w:tc>
        <w:tc>
          <w:tcPr>
            <w:tcW w:type="dxa" w:w="3402"/>
          </w:tcPr>
          <w:p w14:paraId="CF010000">
            <w:pPr>
              <w:widowControl w:val="1"/>
              <w:ind/>
              <w:jc w:val="center"/>
              <w:rPr>
                <w:b w:val="1"/>
                <w:color w:themeColor="text1" w:val="000000"/>
              </w:rPr>
            </w:pPr>
          </w:p>
        </w:tc>
        <w:tc>
          <w:tcPr>
            <w:tcW w:type="dxa" w:w="2694"/>
          </w:tcPr>
          <w:p w14:paraId="D0010000">
            <w:pPr>
              <w:widowControl w:val="1"/>
              <w:ind/>
              <w:jc w:val="center"/>
              <w:rPr>
                <w:b w:val="1"/>
                <w:color w:themeColor="text1" w:val="000000"/>
              </w:rPr>
            </w:pPr>
          </w:p>
        </w:tc>
      </w:tr>
    </w:tbl>
    <w:p w14:paraId="D1010000">
      <w:pPr>
        <w:widowControl w:val="1"/>
        <w:ind w:left="-5245" w:right="-286"/>
        <w:jc w:val="both"/>
        <w:rPr>
          <w:color w:themeColor="text1" w:val="000000"/>
        </w:rPr>
      </w:pPr>
    </w:p>
    <w:p w14:paraId="D2010000">
      <w:pPr>
        <w:widowControl w:val="1"/>
        <w:ind w:left="-5245" w:right="-286"/>
        <w:jc w:val="both"/>
        <w:rPr>
          <w:color w:themeColor="text1" w:val="000000"/>
        </w:rPr>
      </w:pPr>
      <w:r>
        <w:rPr>
          <w:color w:themeColor="text1" w:val="000000"/>
        </w:rPr>
        <w:t xml:space="preserve">Главный </w:t>
      </w:r>
      <w:r>
        <w:rPr>
          <w:color w:themeColor="text1" w:val="000000"/>
        </w:rPr>
        <w:br/>
      </w:r>
      <w:r>
        <w:rPr>
          <w:color w:themeColor="text1" w:val="000000"/>
        </w:rPr>
        <w:t>на 50 процентов.</w:t>
      </w:r>
    </w:p>
    <w:p w14:paraId="D3010000">
      <w:pPr>
        <w:widowControl w:val="1"/>
        <w:ind w:firstLine="540"/>
        <w:jc w:val="both"/>
        <w:rPr>
          <w:color w:themeColor="text1" w:val="000000"/>
          <w:sz w:val="20"/>
        </w:rPr>
      </w:pPr>
      <w:r>
        <w:rPr>
          <w:color w:themeColor="text1" w:val="000000"/>
        </w:rPr>
        <w:t xml:space="preserve">* </w:t>
      </w:r>
      <w:r>
        <w:rPr>
          <w:color w:themeColor="text1" w:val="000000"/>
          <w:sz w:val="20"/>
        </w:rPr>
        <w:t>В соответствии с пунктом 1.6 Порядка предоставления в 2025 году субсидий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из других регионов, утвержденного настоящим постановлением.</w:t>
      </w:r>
    </w:p>
    <w:p w14:paraId="D4010000">
      <w:pPr>
        <w:widowControl w:val="1"/>
        <w:ind w:firstLine="540"/>
        <w:jc w:val="both"/>
        <w:rPr>
          <w:color w:themeColor="text1" w:val="000000"/>
          <w:sz w:val="20"/>
        </w:rPr>
      </w:pPr>
      <w:r>
        <w:rPr>
          <w:color w:themeColor="text1" w:val="000000"/>
        </w:rPr>
        <w:t>**</w:t>
      </w:r>
      <w:r>
        <w:rPr>
          <w:color w:themeColor="text1" w:val="000000"/>
          <w:sz w:val="20"/>
        </w:rPr>
        <w:t xml:space="preserve"> Размер возмещаемых затрат на одного сотрудника из другого региона не должен превышать 10 тыс. руб. в месяц.</w:t>
      </w:r>
    </w:p>
    <w:p w14:paraId="D5010000">
      <w:pPr>
        <w:widowControl w:val="1"/>
        <w:ind w:firstLine="540"/>
        <w:jc w:val="both"/>
        <w:rPr>
          <w:color w:themeColor="text1" w:val="000000"/>
        </w:rPr>
      </w:pPr>
    </w:p>
    <w:p w14:paraId="D6010000">
      <w:pPr>
        <w:sectPr>
          <w:headerReference r:id="rId1" w:type="default"/>
          <w:headerReference r:id="rId17" w:type="first"/>
          <w:headerReference r:id="rId5" w:type="even"/>
          <w:pgSz w:h="16839" w:orient="landscape" w:w="23814"/>
          <w:pgMar w:bottom="568" w:footer="709" w:gutter="0" w:header="709" w:left="1531" w:right="1106" w:top="1134"/>
          <w:pgNumType w:start="1"/>
          <w:titlePg/>
        </w:sectPr>
      </w:pPr>
    </w:p>
    <w:p w14:paraId="D7010000">
      <w:pPr>
        <w:widowControl w:val="1"/>
        <w:ind w:left="15026"/>
        <w:rPr>
          <w:color w:themeColor="text1" w:val="000000"/>
        </w:rPr>
      </w:pPr>
      <w:r>
        <w:rPr>
          <w:color w:themeColor="text1" w:val="000000"/>
        </w:rPr>
        <w:t>1</w:t>
      </w:r>
    </w:p>
    <w:p w14:paraId="D8010000">
      <w:pPr>
        <w:widowControl w:val="0"/>
        <w:spacing w:line="250" w:lineRule="auto"/>
        <w:ind w:left="4254"/>
        <w:rPr>
          <w:color w:themeColor="text1" w:val="000000"/>
        </w:rPr>
      </w:pPr>
      <w:r>
        <w:rPr>
          <w:color w:themeColor="text1" w:val="000000"/>
        </w:rPr>
        <w:t xml:space="preserve">Приложение № 2 к Перечню документов, </w:t>
      </w:r>
      <w:r>
        <w:rPr>
          <w:color w:themeColor="text1" w:val="000000"/>
        </w:rPr>
        <w:br/>
      </w:r>
      <w:r>
        <w:rPr>
          <w:color w:themeColor="text1" w:val="000000"/>
        </w:rPr>
        <w:t xml:space="preserve">представляемых в Комитет по промышленной политике, инновациям и торговле </w:t>
      </w:r>
      <w:r>
        <w:rPr>
          <w:color w:themeColor="text1" w:val="000000"/>
        </w:rPr>
        <w:br/>
      </w:r>
      <w:r>
        <w:rPr>
          <w:color w:themeColor="text1" w:val="000000"/>
        </w:rPr>
        <w:t xml:space="preserve">Санкт-Петербурга для участия в отборе </w:t>
      </w:r>
      <w:r>
        <w:rPr>
          <w:color w:themeColor="text1" w:val="000000"/>
        </w:rPr>
        <w:br/>
      </w:r>
      <w:r>
        <w:rPr>
          <w:color w:themeColor="text1" w:val="000000"/>
        </w:rPr>
        <w:t xml:space="preserve">на право получения в 2025 году субсидии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из других регионов, и требованиям </w:t>
      </w:r>
    </w:p>
    <w:p w14:paraId="D9010000">
      <w:pPr>
        <w:widowControl w:val="0"/>
        <w:spacing w:line="250" w:lineRule="auto"/>
        <w:ind w:left="4254"/>
        <w:rPr>
          <w:color w:themeColor="text1" w:val="000000"/>
        </w:rPr>
      </w:pPr>
      <w:r>
        <w:rPr>
          <w:color w:themeColor="text1" w:val="000000"/>
        </w:rPr>
        <w:t>к указанным документам</w:t>
      </w:r>
    </w:p>
    <w:p w14:paraId="DA010000">
      <w:pPr>
        <w:widowControl w:val="0"/>
        <w:ind/>
        <w:jc w:val="center"/>
        <w:rPr>
          <w:b w:val="1"/>
          <w:color w:themeColor="text1" w:val="000000"/>
        </w:rPr>
      </w:pPr>
    </w:p>
    <w:p w14:paraId="DB010000">
      <w:pPr>
        <w:widowControl w:val="1"/>
        <w:ind/>
        <w:jc w:val="center"/>
        <w:rPr>
          <w:color w:themeColor="text1" w:val="000000"/>
        </w:rPr>
      </w:pPr>
      <w:r>
        <w:rPr>
          <w:color w:themeColor="text1" w:val="000000"/>
        </w:rPr>
        <w:t>(Форма)</w:t>
      </w:r>
    </w:p>
    <w:p w14:paraId="DC010000">
      <w:pPr>
        <w:widowControl w:val="1"/>
        <w:ind/>
        <w:jc w:val="right"/>
        <w:rPr>
          <w:color w:themeColor="text1" w:val="000000"/>
        </w:rPr>
      </w:pPr>
    </w:p>
    <w:tbl>
      <w:tblPr>
        <w:tblStyle w:val="Style_11"/>
        <w:tblW w:type="auto" w:w="0"/>
        <w:tblLayout w:type="fixed"/>
        <w:tblCellMar>
          <w:top w:type="dxa" w:w="102"/>
          <w:left w:type="dxa" w:w="62"/>
          <w:bottom w:type="dxa" w:w="102"/>
          <w:right w:type="dxa" w:w="62"/>
        </w:tblCellMar>
      </w:tblPr>
      <w:tblGrid>
        <w:gridCol w:w="584"/>
        <w:gridCol w:w="584"/>
        <w:gridCol w:w="772"/>
        <w:gridCol w:w="1041"/>
        <w:gridCol w:w="994"/>
        <w:gridCol w:w="585"/>
        <w:gridCol w:w="728"/>
        <w:gridCol w:w="3716"/>
        <w:gridCol w:w="350"/>
      </w:tblGrid>
      <w:tr>
        <w:tc>
          <w:tcPr>
            <w:tcW w:type="dxa" w:w="9354"/>
            <w:gridSpan w:val="9"/>
            <w:tcBorders>
              <w:top w:sz="4" w:val="nil"/>
              <w:left w:sz="4" w:val="nil"/>
              <w:bottom w:sz="4" w:val="nil"/>
              <w:right w:sz="4" w:val="nil"/>
            </w:tcBorders>
            <w:tcMar>
              <w:top w:type="dxa" w:w="102"/>
              <w:left w:type="dxa" w:w="62"/>
              <w:bottom w:type="dxa" w:w="102"/>
              <w:right w:type="dxa" w:w="62"/>
            </w:tcMar>
          </w:tcPr>
          <w:p w14:paraId="DD010000">
            <w:pPr>
              <w:widowControl w:val="1"/>
              <w:ind/>
              <w:jc w:val="center"/>
              <w:rPr>
                <w:b w:val="1"/>
                <w:color w:themeColor="text1" w:val="000000"/>
              </w:rPr>
            </w:pPr>
            <w:r>
              <w:rPr>
                <w:b w:val="1"/>
                <w:color w:themeColor="text1" w:val="000000"/>
              </w:rPr>
              <w:t xml:space="preserve">СОГЛАСИЕ </w:t>
            </w:r>
          </w:p>
          <w:p w14:paraId="DE010000">
            <w:pPr>
              <w:widowControl w:val="1"/>
              <w:ind/>
              <w:jc w:val="center"/>
              <w:rPr>
                <w:color w:themeColor="text1" w:val="000000"/>
              </w:rPr>
            </w:pPr>
            <w:r>
              <w:rPr>
                <w:b w:val="1"/>
                <w:color w:themeColor="text1" w:val="000000"/>
              </w:rPr>
              <w:t>на обработку персональных данных</w:t>
            </w:r>
            <w:r>
              <w:rPr>
                <w:color w:themeColor="text1" w:val="000000"/>
              </w:rPr>
              <w:t xml:space="preserve"> </w:t>
            </w:r>
          </w:p>
        </w:tc>
      </w:tr>
      <w:tr>
        <w:tc>
          <w:tcPr>
            <w:tcW w:type="dxa" w:w="9354"/>
            <w:gridSpan w:val="9"/>
            <w:tcBorders>
              <w:top w:sz="4" w:val="nil"/>
              <w:left w:sz="4" w:val="nil"/>
              <w:bottom w:sz="4" w:val="nil"/>
              <w:right w:sz="4" w:val="nil"/>
            </w:tcBorders>
            <w:tcMar>
              <w:top w:type="dxa" w:w="102"/>
              <w:left w:type="dxa" w:w="62"/>
              <w:bottom w:type="dxa" w:w="102"/>
              <w:right w:type="dxa" w:w="62"/>
            </w:tcMar>
          </w:tcPr>
          <w:p w14:paraId="DF010000">
            <w:pPr>
              <w:widowControl w:val="1"/>
              <w:ind/>
              <w:jc w:val="both"/>
              <w:rPr>
                <w:color w:themeColor="text1" w:val="000000"/>
              </w:rPr>
            </w:pPr>
          </w:p>
        </w:tc>
      </w:tr>
      <w:tr>
        <w:tc>
          <w:tcPr>
            <w:tcW w:type="dxa" w:w="584"/>
            <w:tcBorders>
              <w:top w:sz="4" w:val="nil"/>
              <w:left w:sz="4" w:val="nil"/>
              <w:bottom w:sz="4" w:val="nil"/>
              <w:right w:sz="4" w:val="nil"/>
            </w:tcBorders>
            <w:tcMar>
              <w:top w:type="dxa" w:w="102"/>
              <w:left w:type="dxa" w:w="62"/>
              <w:bottom w:type="dxa" w:w="102"/>
              <w:right w:type="dxa" w:w="62"/>
            </w:tcMar>
          </w:tcPr>
          <w:p w14:paraId="E0010000">
            <w:pPr>
              <w:widowControl w:val="1"/>
              <w:ind/>
              <w:jc w:val="both"/>
              <w:rPr>
                <w:color w:themeColor="text1" w:val="000000"/>
              </w:rPr>
            </w:pPr>
            <w:r>
              <w:rPr>
                <w:color w:themeColor="text1" w:val="000000"/>
              </w:rPr>
              <w:t>Я,</w:t>
            </w:r>
          </w:p>
        </w:tc>
        <w:tc>
          <w:tcPr>
            <w:tcW w:type="dxa" w:w="8420"/>
            <w:gridSpan w:val="7"/>
            <w:tcBorders>
              <w:top w:sz="4" w:val="nil"/>
              <w:left w:sz="4" w:val="nil"/>
              <w:bottom w:color="000000" w:sz="4" w:val="single"/>
              <w:right w:sz="4" w:val="nil"/>
            </w:tcBorders>
            <w:tcMar>
              <w:top w:type="dxa" w:w="102"/>
              <w:left w:type="dxa" w:w="62"/>
              <w:bottom w:type="dxa" w:w="102"/>
              <w:right w:type="dxa" w:w="62"/>
            </w:tcMar>
          </w:tcPr>
          <w:p w14:paraId="E1010000">
            <w:pPr>
              <w:widowControl w:val="1"/>
              <w:ind/>
              <w:jc w:val="both"/>
              <w:rPr>
                <w:color w:themeColor="text1" w:val="000000"/>
              </w:rPr>
            </w:pPr>
          </w:p>
        </w:tc>
        <w:tc>
          <w:tcPr>
            <w:tcW w:type="dxa" w:w="350"/>
            <w:tcBorders>
              <w:top w:sz="4" w:val="nil"/>
              <w:left w:sz="4" w:val="nil"/>
              <w:bottom w:sz="4" w:val="nil"/>
              <w:right w:sz="4" w:val="nil"/>
            </w:tcBorders>
            <w:tcMar>
              <w:top w:type="dxa" w:w="102"/>
              <w:left w:type="dxa" w:w="62"/>
              <w:bottom w:type="dxa" w:w="102"/>
              <w:right w:type="dxa" w:w="62"/>
            </w:tcMar>
          </w:tcPr>
          <w:p w14:paraId="E2010000">
            <w:pPr>
              <w:widowControl w:val="1"/>
              <w:ind/>
              <w:jc w:val="both"/>
              <w:rPr>
                <w:color w:themeColor="text1" w:val="000000"/>
              </w:rPr>
            </w:pPr>
            <w:r>
              <w:rPr>
                <w:color w:themeColor="text1" w:val="000000"/>
              </w:rPr>
              <w:t>,</w:t>
            </w:r>
          </w:p>
        </w:tc>
      </w:tr>
      <w:tr>
        <w:tc>
          <w:tcPr>
            <w:tcW w:type="dxa" w:w="584"/>
            <w:tcBorders>
              <w:top w:sz="4" w:val="nil"/>
              <w:left w:sz="4" w:val="nil"/>
              <w:bottom w:sz="4" w:val="nil"/>
              <w:right w:sz="4" w:val="nil"/>
            </w:tcBorders>
            <w:tcMar>
              <w:top w:type="dxa" w:w="102"/>
              <w:left w:type="dxa" w:w="62"/>
              <w:bottom w:type="dxa" w:w="102"/>
              <w:right w:type="dxa" w:w="62"/>
            </w:tcMar>
          </w:tcPr>
          <w:p w14:paraId="E3010000">
            <w:pPr>
              <w:widowControl w:val="1"/>
              <w:ind/>
              <w:jc w:val="both"/>
              <w:rPr>
                <w:color w:themeColor="text1" w:val="000000"/>
              </w:rPr>
            </w:pPr>
          </w:p>
        </w:tc>
        <w:tc>
          <w:tcPr>
            <w:tcW w:type="dxa" w:w="8420"/>
            <w:gridSpan w:val="7"/>
            <w:tcBorders>
              <w:top w:color="000000" w:sz="4" w:val="single"/>
              <w:left w:sz="4" w:val="nil"/>
              <w:bottom w:sz="4" w:val="nil"/>
              <w:right w:sz="4" w:val="nil"/>
            </w:tcBorders>
            <w:tcMar>
              <w:top w:type="dxa" w:w="102"/>
              <w:left w:type="dxa" w:w="62"/>
              <w:bottom w:type="dxa" w:w="102"/>
              <w:right w:type="dxa" w:w="62"/>
            </w:tcMar>
          </w:tcPr>
          <w:p w14:paraId="E4010000">
            <w:pPr>
              <w:widowControl w:val="1"/>
              <w:ind/>
              <w:jc w:val="center"/>
              <w:rPr>
                <w:color w:themeColor="text1" w:val="000000"/>
                <w:sz w:val="20"/>
              </w:rPr>
            </w:pPr>
            <w:r>
              <w:rPr>
                <w:color w:themeColor="text1" w:val="000000"/>
                <w:sz w:val="20"/>
              </w:rPr>
              <w:t>(фамилия, имя, отчество (последнее – при наличии))</w:t>
            </w:r>
          </w:p>
        </w:tc>
        <w:tc>
          <w:tcPr>
            <w:tcW w:type="dxa" w:w="350"/>
            <w:tcBorders>
              <w:top w:sz="4" w:val="nil"/>
              <w:left w:sz="4" w:val="nil"/>
              <w:bottom w:sz="4" w:val="nil"/>
              <w:right w:sz="4" w:val="nil"/>
            </w:tcBorders>
            <w:tcMar>
              <w:top w:type="dxa" w:w="102"/>
              <w:left w:type="dxa" w:w="62"/>
              <w:bottom w:type="dxa" w:w="102"/>
              <w:right w:type="dxa" w:w="62"/>
            </w:tcMar>
          </w:tcPr>
          <w:p w14:paraId="E5010000">
            <w:pPr>
              <w:widowControl w:val="1"/>
              <w:ind/>
              <w:jc w:val="both"/>
              <w:rPr>
                <w:color w:themeColor="text1" w:val="000000"/>
              </w:rPr>
            </w:pPr>
          </w:p>
        </w:tc>
      </w:tr>
      <w:tr>
        <w:tc>
          <w:tcPr>
            <w:tcW w:type="dxa" w:w="1168"/>
            <w:gridSpan w:val="2"/>
            <w:tcBorders>
              <w:top w:sz="4" w:val="nil"/>
              <w:left w:sz="4" w:val="nil"/>
              <w:bottom w:sz="4" w:val="nil"/>
              <w:right w:sz="4" w:val="nil"/>
            </w:tcBorders>
            <w:tcMar>
              <w:top w:type="dxa" w:w="102"/>
              <w:left w:type="dxa" w:w="62"/>
              <w:bottom w:type="dxa" w:w="102"/>
              <w:right w:type="dxa" w:w="62"/>
            </w:tcMar>
          </w:tcPr>
          <w:p w14:paraId="E6010000">
            <w:pPr>
              <w:widowControl w:val="1"/>
              <w:ind/>
              <w:jc w:val="both"/>
              <w:rPr>
                <w:color w:themeColor="text1" w:val="000000"/>
              </w:rPr>
            </w:pPr>
            <w:r>
              <w:rPr>
                <w:color w:themeColor="text1" w:val="000000"/>
              </w:rPr>
              <w:t>паспорт</w:t>
            </w:r>
          </w:p>
        </w:tc>
        <w:tc>
          <w:tcPr>
            <w:tcW w:type="dxa" w:w="1813"/>
            <w:gridSpan w:val="2"/>
            <w:tcBorders>
              <w:top w:sz="4" w:val="nil"/>
              <w:left w:sz="4" w:val="nil"/>
              <w:bottom w:color="000000" w:sz="4" w:val="single"/>
              <w:right w:sz="4" w:val="nil"/>
            </w:tcBorders>
            <w:tcMar>
              <w:top w:type="dxa" w:w="102"/>
              <w:left w:type="dxa" w:w="62"/>
              <w:bottom w:type="dxa" w:w="102"/>
              <w:right w:type="dxa" w:w="62"/>
            </w:tcMar>
          </w:tcPr>
          <w:p w14:paraId="E7010000">
            <w:pPr>
              <w:widowControl w:val="1"/>
              <w:ind/>
              <w:jc w:val="both"/>
              <w:rPr>
                <w:color w:themeColor="text1" w:val="000000"/>
              </w:rPr>
            </w:pPr>
          </w:p>
        </w:tc>
        <w:tc>
          <w:tcPr>
            <w:tcW w:type="dxa" w:w="994"/>
            <w:tcBorders>
              <w:top w:sz="4" w:val="nil"/>
              <w:left w:sz="4" w:val="nil"/>
              <w:bottom w:sz="4" w:val="nil"/>
              <w:right w:sz="4" w:val="nil"/>
            </w:tcBorders>
            <w:tcMar>
              <w:top w:type="dxa" w:w="102"/>
              <w:left w:type="dxa" w:w="62"/>
              <w:bottom w:type="dxa" w:w="102"/>
              <w:right w:type="dxa" w:w="62"/>
            </w:tcMar>
          </w:tcPr>
          <w:p w14:paraId="E8010000">
            <w:pPr>
              <w:widowControl w:val="1"/>
              <w:ind/>
              <w:jc w:val="both"/>
              <w:rPr>
                <w:color w:themeColor="text1" w:val="000000"/>
              </w:rPr>
            </w:pPr>
            <w:r>
              <w:rPr>
                <w:color w:themeColor="text1" w:val="000000"/>
              </w:rPr>
              <w:t>выдан</w:t>
            </w:r>
          </w:p>
        </w:tc>
        <w:tc>
          <w:tcPr>
            <w:tcW w:type="dxa" w:w="5029"/>
            <w:gridSpan w:val="3"/>
            <w:tcBorders>
              <w:top w:sz="4" w:val="nil"/>
              <w:left w:sz="4" w:val="nil"/>
              <w:bottom w:color="000000" w:sz="4" w:val="single"/>
              <w:right w:sz="4" w:val="nil"/>
            </w:tcBorders>
            <w:tcMar>
              <w:top w:type="dxa" w:w="102"/>
              <w:left w:type="dxa" w:w="62"/>
              <w:bottom w:type="dxa" w:w="102"/>
              <w:right w:type="dxa" w:w="62"/>
            </w:tcMar>
          </w:tcPr>
          <w:p w14:paraId="E9010000">
            <w:pPr>
              <w:widowControl w:val="1"/>
              <w:ind/>
              <w:jc w:val="both"/>
              <w:rPr>
                <w:color w:themeColor="text1" w:val="000000"/>
              </w:rPr>
            </w:pPr>
          </w:p>
        </w:tc>
        <w:tc>
          <w:tcPr>
            <w:tcW w:type="dxa" w:w="350"/>
            <w:tcBorders>
              <w:top w:sz="4" w:val="nil"/>
              <w:left w:sz="4" w:val="nil"/>
              <w:bottom w:sz="4" w:val="nil"/>
              <w:right w:sz="4" w:val="nil"/>
            </w:tcBorders>
            <w:tcMar>
              <w:top w:type="dxa" w:w="102"/>
              <w:left w:type="dxa" w:w="62"/>
              <w:bottom w:type="dxa" w:w="102"/>
              <w:right w:type="dxa" w:w="62"/>
            </w:tcMar>
          </w:tcPr>
          <w:p w14:paraId="EA010000">
            <w:pPr>
              <w:widowControl w:val="1"/>
              <w:ind/>
              <w:jc w:val="both"/>
              <w:rPr>
                <w:color w:themeColor="text1" w:val="000000"/>
              </w:rPr>
            </w:pPr>
            <w:r>
              <w:rPr>
                <w:color w:themeColor="text1" w:val="000000"/>
              </w:rPr>
              <w:t>,</w:t>
            </w:r>
          </w:p>
        </w:tc>
      </w:tr>
      <w:tr>
        <w:tc>
          <w:tcPr>
            <w:tcW w:type="dxa" w:w="1168"/>
            <w:gridSpan w:val="2"/>
            <w:tcBorders>
              <w:top w:sz="4" w:val="nil"/>
              <w:left w:sz="4" w:val="nil"/>
              <w:bottom w:sz="4" w:val="nil"/>
              <w:right w:sz="4" w:val="nil"/>
            </w:tcBorders>
            <w:tcMar>
              <w:top w:type="dxa" w:w="102"/>
              <w:left w:type="dxa" w:w="62"/>
              <w:bottom w:type="dxa" w:w="102"/>
              <w:right w:type="dxa" w:w="62"/>
            </w:tcMar>
          </w:tcPr>
          <w:p w14:paraId="EB010000">
            <w:pPr>
              <w:widowControl w:val="1"/>
              <w:ind/>
              <w:jc w:val="both"/>
              <w:rPr>
                <w:color w:themeColor="text1" w:val="000000"/>
              </w:rPr>
            </w:pPr>
          </w:p>
        </w:tc>
        <w:tc>
          <w:tcPr>
            <w:tcW w:type="dxa" w:w="1813"/>
            <w:gridSpan w:val="2"/>
            <w:tcBorders>
              <w:top w:color="000000" w:sz="4" w:val="single"/>
              <w:left w:sz="4" w:val="nil"/>
              <w:bottom w:sz="4" w:val="nil"/>
              <w:right w:sz="4" w:val="nil"/>
            </w:tcBorders>
            <w:tcMar>
              <w:top w:type="dxa" w:w="102"/>
              <w:left w:type="dxa" w:w="62"/>
              <w:bottom w:type="dxa" w:w="102"/>
              <w:right w:type="dxa" w:w="62"/>
            </w:tcMar>
          </w:tcPr>
          <w:p w14:paraId="EC010000">
            <w:pPr>
              <w:widowControl w:val="1"/>
              <w:ind/>
              <w:jc w:val="center"/>
              <w:rPr>
                <w:color w:themeColor="text1" w:val="000000"/>
                <w:sz w:val="20"/>
              </w:rPr>
            </w:pPr>
            <w:r>
              <w:rPr>
                <w:color w:themeColor="text1" w:val="000000"/>
                <w:sz w:val="20"/>
              </w:rPr>
              <w:t>(серия, номер)</w:t>
            </w:r>
          </w:p>
        </w:tc>
        <w:tc>
          <w:tcPr>
            <w:tcW w:type="dxa" w:w="994"/>
            <w:tcBorders>
              <w:top w:sz="4" w:val="nil"/>
              <w:left w:sz="4" w:val="nil"/>
              <w:bottom w:sz="4" w:val="nil"/>
              <w:right w:sz="4" w:val="nil"/>
            </w:tcBorders>
            <w:tcMar>
              <w:top w:type="dxa" w:w="102"/>
              <w:left w:type="dxa" w:w="62"/>
              <w:bottom w:type="dxa" w:w="102"/>
              <w:right w:type="dxa" w:w="62"/>
            </w:tcMar>
          </w:tcPr>
          <w:p w14:paraId="ED010000">
            <w:pPr>
              <w:widowControl w:val="1"/>
              <w:ind/>
              <w:jc w:val="both"/>
              <w:rPr>
                <w:color w:themeColor="text1" w:val="000000"/>
                <w:sz w:val="20"/>
              </w:rPr>
            </w:pPr>
          </w:p>
        </w:tc>
        <w:tc>
          <w:tcPr>
            <w:tcW w:type="dxa" w:w="5029"/>
            <w:gridSpan w:val="3"/>
            <w:tcBorders>
              <w:top w:color="000000" w:sz="4" w:val="single"/>
              <w:left w:sz="4" w:val="nil"/>
              <w:bottom w:sz="4" w:val="nil"/>
              <w:right w:sz="4" w:val="nil"/>
            </w:tcBorders>
            <w:tcMar>
              <w:top w:type="dxa" w:w="102"/>
              <w:left w:type="dxa" w:w="62"/>
              <w:bottom w:type="dxa" w:w="102"/>
              <w:right w:type="dxa" w:w="62"/>
            </w:tcMar>
          </w:tcPr>
          <w:p w14:paraId="EE010000">
            <w:pPr>
              <w:widowControl w:val="1"/>
              <w:ind/>
              <w:jc w:val="center"/>
              <w:rPr>
                <w:color w:themeColor="text1" w:val="000000"/>
                <w:sz w:val="20"/>
              </w:rPr>
            </w:pPr>
            <w:r>
              <w:rPr>
                <w:color w:themeColor="text1" w:val="000000"/>
                <w:sz w:val="20"/>
              </w:rPr>
              <w:t>(когда и кем выдан)</w:t>
            </w:r>
          </w:p>
        </w:tc>
        <w:tc>
          <w:tcPr>
            <w:tcW w:type="dxa" w:w="350"/>
            <w:tcBorders>
              <w:top w:sz="4" w:val="nil"/>
              <w:left w:sz="4" w:val="nil"/>
              <w:bottom w:sz="4" w:val="nil"/>
              <w:right w:sz="4" w:val="nil"/>
            </w:tcBorders>
            <w:tcMar>
              <w:top w:type="dxa" w:w="102"/>
              <w:left w:type="dxa" w:w="62"/>
              <w:bottom w:type="dxa" w:w="102"/>
              <w:right w:type="dxa" w:w="62"/>
            </w:tcMar>
          </w:tcPr>
          <w:p w14:paraId="EF010000">
            <w:pPr>
              <w:widowControl w:val="1"/>
              <w:ind/>
              <w:jc w:val="both"/>
              <w:rPr>
                <w:color w:themeColor="text1" w:val="000000"/>
              </w:rPr>
            </w:pPr>
          </w:p>
        </w:tc>
      </w:tr>
      <w:tr>
        <w:tc>
          <w:tcPr>
            <w:tcW w:type="dxa" w:w="4560"/>
            <w:gridSpan w:val="6"/>
            <w:tcBorders>
              <w:top w:sz="4" w:val="nil"/>
              <w:left w:sz="4" w:val="nil"/>
              <w:bottom w:sz="4" w:val="nil"/>
              <w:right w:sz="4" w:val="nil"/>
            </w:tcBorders>
            <w:tcMar>
              <w:top w:type="dxa" w:w="102"/>
              <w:left w:type="dxa" w:w="62"/>
              <w:bottom w:type="dxa" w:w="102"/>
              <w:right w:type="dxa" w:w="62"/>
            </w:tcMar>
          </w:tcPr>
          <w:p w14:paraId="F0010000">
            <w:pPr>
              <w:widowControl w:val="1"/>
              <w:ind/>
              <w:jc w:val="both"/>
              <w:rPr>
                <w:color w:themeColor="text1" w:val="000000"/>
              </w:rPr>
            </w:pPr>
            <w:r>
              <w:rPr>
                <w:color w:themeColor="text1" w:val="000000"/>
              </w:rPr>
              <w:t>адрес регистрации по месту жительства:</w:t>
            </w:r>
          </w:p>
        </w:tc>
        <w:tc>
          <w:tcPr>
            <w:tcW w:type="dxa" w:w="4444"/>
            <w:gridSpan w:val="2"/>
            <w:tcBorders>
              <w:top w:sz="4" w:val="nil"/>
              <w:left w:sz="4" w:val="nil"/>
              <w:bottom w:color="000000" w:sz="4" w:val="single"/>
              <w:right w:sz="4" w:val="nil"/>
            </w:tcBorders>
            <w:tcMar>
              <w:top w:type="dxa" w:w="102"/>
              <w:left w:type="dxa" w:w="62"/>
              <w:bottom w:type="dxa" w:w="102"/>
              <w:right w:type="dxa" w:w="62"/>
            </w:tcMar>
          </w:tcPr>
          <w:p w14:paraId="F1010000">
            <w:pPr>
              <w:widowControl w:val="1"/>
              <w:ind/>
              <w:jc w:val="both"/>
              <w:rPr>
                <w:color w:themeColor="text1" w:val="000000"/>
              </w:rPr>
            </w:pPr>
          </w:p>
        </w:tc>
        <w:tc>
          <w:tcPr>
            <w:tcW w:type="dxa" w:w="350"/>
            <w:tcBorders>
              <w:top w:sz="4" w:val="nil"/>
              <w:left w:sz="4" w:val="nil"/>
              <w:bottom w:sz="4" w:val="nil"/>
              <w:right w:sz="4" w:val="nil"/>
            </w:tcBorders>
            <w:tcMar>
              <w:top w:type="dxa" w:w="102"/>
              <w:left w:type="dxa" w:w="62"/>
              <w:bottom w:type="dxa" w:w="102"/>
              <w:right w:type="dxa" w:w="62"/>
            </w:tcMar>
          </w:tcPr>
          <w:p w14:paraId="F2010000">
            <w:pPr>
              <w:widowControl w:val="1"/>
              <w:ind/>
              <w:jc w:val="both"/>
              <w:rPr>
                <w:color w:themeColor="text1" w:val="000000"/>
              </w:rPr>
            </w:pPr>
            <w:r>
              <w:rPr>
                <w:color w:themeColor="text1" w:val="000000"/>
              </w:rPr>
              <w:t>,</w:t>
            </w:r>
          </w:p>
        </w:tc>
      </w:tr>
      <w:tr>
        <w:tc>
          <w:tcPr>
            <w:tcW w:type="dxa" w:w="2981"/>
            <w:gridSpan w:val="4"/>
            <w:tcBorders>
              <w:top w:sz="4" w:val="nil"/>
              <w:left w:sz="4" w:val="nil"/>
              <w:bottom w:sz="4" w:val="nil"/>
              <w:right w:sz="4" w:val="nil"/>
            </w:tcBorders>
            <w:tcMar>
              <w:top w:type="dxa" w:w="102"/>
              <w:left w:type="dxa" w:w="62"/>
              <w:bottom w:type="dxa" w:w="102"/>
              <w:right w:type="dxa" w:w="62"/>
            </w:tcMar>
          </w:tcPr>
          <w:p w14:paraId="F3010000">
            <w:pPr>
              <w:widowControl w:val="1"/>
              <w:ind/>
              <w:jc w:val="both"/>
              <w:rPr>
                <w:color w:themeColor="text1" w:val="000000"/>
              </w:rPr>
            </w:pPr>
            <w:r>
              <w:rPr>
                <w:color w:themeColor="text1" w:val="000000"/>
              </w:rPr>
              <w:t>контактная информация</w:t>
            </w:r>
          </w:p>
        </w:tc>
        <w:tc>
          <w:tcPr>
            <w:tcW w:type="dxa" w:w="6023"/>
            <w:gridSpan w:val="4"/>
            <w:tcBorders>
              <w:top w:sz="4" w:val="nil"/>
              <w:left w:sz="4" w:val="nil"/>
              <w:bottom w:color="000000" w:sz="4" w:val="single"/>
              <w:right w:sz="4" w:val="nil"/>
            </w:tcBorders>
            <w:tcMar>
              <w:top w:type="dxa" w:w="102"/>
              <w:left w:type="dxa" w:w="62"/>
              <w:bottom w:type="dxa" w:w="102"/>
              <w:right w:type="dxa" w:w="62"/>
            </w:tcMar>
          </w:tcPr>
          <w:p w14:paraId="F4010000">
            <w:pPr>
              <w:widowControl w:val="1"/>
              <w:ind/>
              <w:jc w:val="both"/>
              <w:rPr>
                <w:color w:themeColor="text1" w:val="000000"/>
              </w:rPr>
            </w:pPr>
          </w:p>
        </w:tc>
        <w:tc>
          <w:tcPr>
            <w:tcW w:type="dxa" w:w="350"/>
            <w:tcBorders>
              <w:top w:sz="4" w:val="nil"/>
              <w:left w:sz="4" w:val="nil"/>
              <w:bottom w:sz="4" w:val="nil"/>
              <w:right w:sz="4" w:val="nil"/>
            </w:tcBorders>
            <w:tcMar>
              <w:top w:type="dxa" w:w="102"/>
              <w:left w:type="dxa" w:w="62"/>
              <w:bottom w:type="dxa" w:w="102"/>
              <w:right w:type="dxa" w:w="62"/>
            </w:tcMar>
          </w:tcPr>
          <w:p w14:paraId="F5010000">
            <w:pPr>
              <w:widowControl w:val="1"/>
              <w:ind/>
              <w:jc w:val="both"/>
              <w:rPr>
                <w:color w:themeColor="text1" w:val="000000"/>
              </w:rPr>
            </w:pPr>
            <w:r>
              <w:rPr>
                <w:color w:themeColor="text1" w:val="000000"/>
              </w:rPr>
              <w:t>,</w:t>
            </w:r>
          </w:p>
        </w:tc>
      </w:tr>
      <w:tr>
        <w:tc>
          <w:tcPr>
            <w:tcW w:type="dxa" w:w="2981"/>
            <w:gridSpan w:val="4"/>
            <w:tcBorders>
              <w:top w:sz="4" w:val="nil"/>
              <w:left w:sz="4" w:val="nil"/>
              <w:bottom w:sz="4" w:val="nil"/>
              <w:right w:sz="4" w:val="nil"/>
            </w:tcBorders>
            <w:tcMar>
              <w:top w:type="dxa" w:w="102"/>
              <w:left w:type="dxa" w:w="62"/>
              <w:bottom w:type="dxa" w:w="102"/>
              <w:right w:type="dxa" w:w="62"/>
            </w:tcMar>
          </w:tcPr>
          <w:p w14:paraId="F6010000">
            <w:pPr>
              <w:widowControl w:val="1"/>
              <w:ind/>
              <w:jc w:val="both"/>
              <w:rPr>
                <w:color w:themeColor="text1" w:val="000000"/>
                <w:sz w:val="20"/>
              </w:rPr>
            </w:pPr>
          </w:p>
        </w:tc>
        <w:tc>
          <w:tcPr>
            <w:tcW w:type="dxa" w:w="6023"/>
            <w:gridSpan w:val="4"/>
            <w:tcBorders>
              <w:top w:color="000000" w:sz="4" w:val="single"/>
              <w:left w:sz="4" w:val="nil"/>
              <w:bottom w:sz="4" w:val="nil"/>
              <w:right w:sz="4" w:val="nil"/>
            </w:tcBorders>
            <w:tcMar>
              <w:top w:type="dxa" w:w="102"/>
              <w:left w:type="dxa" w:w="62"/>
              <w:bottom w:type="dxa" w:w="102"/>
              <w:right w:type="dxa" w:w="62"/>
            </w:tcMar>
          </w:tcPr>
          <w:p w14:paraId="F7010000">
            <w:pPr>
              <w:widowControl w:val="1"/>
              <w:ind/>
              <w:jc w:val="center"/>
              <w:rPr>
                <w:color w:themeColor="text1" w:val="000000"/>
                <w:sz w:val="20"/>
              </w:rPr>
            </w:pPr>
            <w:r>
              <w:rPr>
                <w:color w:themeColor="text1" w:val="000000"/>
                <w:sz w:val="20"/>
              </w:rPr>
              <w:t>(номер телефона, адрес электронной почты или почтовый адрес)</w:t>
            </w:r>
          </w:p>
        </w:tc>
        <w:tc>
          <w:tcPr>
            <w:tcW w:type="dxa" w:w="350"/>
            <w:tcBorders>
              <w:top w:sz="4" w:val="nil"/>
              <w:left w:sz="4" w:val="nil"/>
              <w:bottom w:sz="4" w:val="nil"/>
              <w:right w:sz="4" w:val="nil"/>
            </w:tcBorders>
            <w:tcMar>
              <w:top w:type="dxa" w:w="102"/>
              <w:left w:type="dxa" w:w="62"/>
              <w:bottom w:type="dxa" w:w="102"/>
              <w:right w:type="dxa" w:w="62"/>
            </w:tcMar>
          </w:tcPr>
          <w:p w14:paraId="F8010000">
            <w:pPr>
              <w:widowControl w:val="1"/>
              <w:ind/>
              <w:jc w:val="both"/>
              <w:rPr>
                <w:color w:themeColor="text1" w:val="000000"/>
              </w:rPr>
            </w:pPr>
          </w:p>
        </w:tc>
      </w:tr>
      <w:tr>
        <w:tc>
          <w:tcPr>
            <w:tcW w:type="dxa" w:w="9354"/>
            <w:gridSpan w:val="9"/>
            <w:tcBorders>
              <w:top w:sz="4" w:val="nil"/>
              <w:left w:sz="4" w:val="nil"/>
              <w:bottom w:sz="4" w:val="nil"/>
              <w:right w:sz="4" w:val="nil"/>
            </w:tcBorders>
            <w:tcMar>
              <w:top w:type="dxa" w:w="102"/>
              <w:left w:type="dxa" w:w="62"/>
              <w:bottom w:type="dxa" w:w="102"/>
              <w:right w:type="dxa" w:w="62"/>
            </w:tcMar>
          </w:tcPr>
          <w:p w14:paraId="F9010000">
            <w:pPr>
              <w:widowControl w:val="1"/>
              <w:ind/>
              <w:jc w:val="both"/>
              <w:rPr>
                <w:color w:themeColor="text1" w:val="000000"/>
              </w:rPr>
            </w:pPr>
            <w:r>
              <w:t xml:space="preserve">настоящим даю согласие на обработку Комитетом по промышленной политике, инновациям и торговле Санкт-Петербурга (191144, Санкт-Петербург, улица Новгородская, д. 20, литера А, помещение 2-Н, ИНН: 7838482852, ОГРН 1127847621110, https://cipit.gov.spb.ru/) (далее – Комитет) и органами государственного финансового контроля в пределах своих полномочий, связанных с предоставлением </w:t>
            </w:r>
            <w:r>
              <w:br/>
            </w:r>
            <w:r>
              <w:t>следующих данных (далее – персональные данные):</w:t>
            </w:r>
          </w:p>
        </w:tc>
      </w:tr>
      <w:tr>
        <w:tc>
          <w:tcPr>
            <w:tcW w:type="dxa" w:w="584"/>
            <w:tcBorders>
              <w:top w:sz="4" w:val="nil"/>
              <w:left w:sz="4" w:val="nil"/>
              <w:bottom w:sz="4" w:val="nil"/>
              <w:right w:sz="4" w:val="nil"/>
            </w:tcBorders>
            <w:tcMar>
              <w:top w:type="dxa" w:w="102"/>
              <w:left w:type="dxa" w:w="62"/>
              <w:bottom w:type="dxa" w:w="102"/>
              <w:right w:type="dxa" w:w="62"/>
            </w:tcMar>
          </w:tcPr>
          <w:p w14:paraId="FA010000">
            <w:pPr>
              <w:widowControl w:val="1"/>
              <w:ind/>
              <w:jc w:val="center"/>
              <w:rPr>
                <w:color w:themeColor="text1" w:val="000000"/>
              </w:rPr>
            </w:pPr>
            <w:r>
              <w:rPr>
                <w:color w:themeColor="text1" w:val="000000"/>
              </w:rPr>
              <w:t>-</w:t>
            </w:r>
          </w:p>
        </w:tc>
        <w:tc>
          <w:tcPr>
            <w:tcW w:type="dxa" w:w="8770"/>
            <w:gridSpan w:val="8"/>
            <w:tcBorders>
              <w:top w:sz="4" w:val="nil"/>
              <w:left w:sz="4" w:val="nil"/>
              <w:bottom w:sz="4" w:val="nil"/>
              <w:right w:sz="4" w:val="nil"/>
            </w:tcBorders>
            <w:tcMar>
              <w:top w:type="dxa" w:w="102"/>
              <w:left w:type="dxa" w:w="62"/>
              <w:bottom w:type="dxa" w:w="102"/>
              <w:right w:type="dxa" w:w="62"/>
            </w:tcMar>
          </w:tcPr>
          <w:p w14:paraId="FB010000">
            <w:pPr>
              <w:widowControl w:val="1"/>
              <w:ind/>
              <w:jc w:val="both"/>
              <w:rPr>
                <w:color w:themeColor="text1" w:val="000000"/>
              </w:rPr>
            </w:pPr>
            <w:r>
              <w:rPr>
                <w:color w:themeColor="text1" w:val="000000"/>
              </w:rPr>
              <w:t>фамилия, имя и отчество (при наличии);</w:t>
            </w:r>
          </w:p>
        </w:tc>
      </w:tr>
      <w:tr>
        <w:tc>
          <w:tcPr>
            <w:tcW w:type="dxa" w:w="584"/>
            <w:tcBorders>
              <w:top w:sz="4" w:val="nil"/>
              <w:left w:sz="4" w:val="nil"/>
              <w:bottom w:sz="4" w:val="nil"/>
              <w:right w:sz="4" w:val="nil"/>
            </w:tcBorders>
            <w:tcMar>
              <w:top w:type="dxa" w:w="102"/>
              <w:left w:type="dxa" w:w="62"/>
              <w:bottom w:type="dxa" w:w="102"/>
              <w:right w:type="dxa" w:w="62"/>
            </w:tcMar>
          </w:tcPr>
          <w:p w14:paraId="FC010000">
            <w:pPr>
              <w:widowControl w:val="1"/>
              <w:ind/>
              <w:jc w:val="center"/>
              <w:rPr>
                <w:color w:themeColor="text1" w:val="000000"/>
              </w:rPr>
            </w:pPr>
            <w:r>
              <w:rPr>
                <w:color w:themeColor="text1" w:val="000000"/>
              </w:rPr>
              <w:t>-</w:t>
            </w:r>
          </w:p>
        </w:tc>
        <w:tc>
          <w:tcPr>
            <w:tcW w:type="dxa" w:w="8770"/>
            <w:gridSpan w:val="8"/>
            <w:tcBorders>
              <w:top w:sz="4" w:val="nil"/>
              <w:left w:sz="4" w:val="nil"/>
              <w:bottom w:sz="4" w:val="nil"/>
              <w:right w:sz="4" w:val="nil"/>
            </w:tcBorders>
            <w:tcMar>
              <w:top w:type="dxa" w:w="102"/>
              <w:left w:type="dxa" w:w="62"/>
              <w:bottom w:type="dxa" w:w="102"/>
              <w:right w:type="dxa" w:w="62"/>
            </w:tcMar>
          </w:tcPr>
          <w:p w14:paraId="FD010000">
            <w:pPr>
              <w:widowControl w:val="1"/>
              <w:ind/>
              <w:jc w:val="both"/>
              <w:rPr>
                <w:color w:themeColor="text1" w:val="000000"/>
              </w:rPr>
            </w:pPr>
            <w:r>
              <w:rPr>
                <w:color w:themeColor="text1" w:val="000000"/>
              </w:rPr>
              <w:t xml:space="preserve">номер и серия документа, удостоверяющего личность, сведения о дате его выдачи </w:t>
            </w:r>
            <w:r>
              <w:rPr>
                <w:color w:themeColor="text1" w:val="000000"/>
              </w:rPr>
              <w:br/>
            </w:r>
            <w:r>
              <w:rPr>
                <w:color w:themeColor="text1" w:val="000000"/>
              </w:rPr>
              <w:t>и выдавшем органе;</w:t>
            </w:r>
          </w:p>
        </w:tc>
      </w:tr>
      <w:tr>
        <w:tc>
          <w:tcPr>
            <w:tcW w:type="dxa" w:w="584"/>
            <w:tcBorders>
              <w:top w:sz="4" w:val="nil"/>
              <w:left w:sz="4" w:val="nil"/>
              <w:bottom w:sz="4" w:val="nil"/>
              <w:right w:sz="4" w:val="nil"/>
            </w:tcBorders>
            <w:tcMar>
              <w:top w:type="dxa" w:w="102"/>
              <w:left w:type="dxa" w:w="62"/>
              <w:bottom w:type="dxa" w:w="102"/>
              <w:right w:type="dxa" w:w="62"/>
            </w:tcMar>
          </w:tcPr>
          <w:p w14:paraId="FE010000">
            <w:pPr>
              <w:widowControl w:val="1"/>
              <w:ind/>
              <w:jc w:val="center"/>
              <w:rPr>
                <w:color w:themeColor="text1" w:val="000000"/>
              </w:rPr>
            </w:pPr>
            <w:r>
              <w:rPr>
                <w:color w:themeColor="text1" w:val="000000"/>
              </w:rPr>
              <w:t>-</w:t>
            </w:r>
          </w:p>
        </w:tc>
        <w:tc>
          <w:tcPr>
            <w:tcW w:type="dxa" w:w="8770"/>
            <w:gridSpan w:val="8"/>
            <w:tcBorders>
              <w:top w:sz="4" w:val="nil"/>
              <w:left w:sz="4" w:val="nil"/>
              <w:bottom w:sz="4" w:val="nil"/>
              <w:right w:sz="4" w:val="nil"/>
            </w:tcBorders>
            <w:tcMar>
              <w:top w:type="dxa" w:w="102"/>
              <w:left w:type="dxa" w:w="62"/>
              <w:bottom w:type="dxa" w:w="102"/>
              <w:right w:type="dxa" w:w="62"/>
            </w:tcMar>
          </w:tcPr>
          <w:p w14:paraId="FF010000">
            <w:pPr>
              <w:widowControl w:val="1"/>
              <w:ind/>
              <w:jc w:val="both"/>
              <w:rPr>
                <w:color w:themeColor="text1" w:val="000000"/>
              </w:rPr>
            </w:pPr>
            <w:r>
              <w:rPr>
                <w:color w:themeColor="text1" w:val="000000"/>
              </w:rPr>
              <w:t>год, месяц, дата и место рождения;</w:t>
            </w:r>
          </w:p>
        </w:tc>
      </w:tr>
      <w:tr>
        <w:tc>
          <w:tcPr>
            <w:tcW w:type="dxa" w:w="584"/>
            <w:tcBorders>
              <w:top w:sz="4" w:val="nil"/>
              <w:left w:sz="4" w:val="nil"/>
              <w:bottom w:sz="4" w:val="nil"/>
              <w:right w:sz="4" w:val="nil"/>
            </w:tcBorders>
            <w:tcMar>
              <w:top w:type="dxa" w:w="102"/>
              <w:left w:type="dxa" w:w="62"/>
              <w:bottom w:type="dxa" w:w="102"/>
              <w:right w:type="dxa" w:w="62"/>
            </w:tcMar>
          </w:tcPr>
          <w:p w14:paraId="00020000">
            <w:pPr>
              <w:widowControl w:val="1"/>
              <w:ind/>
              <w:jc w:val="center"/>
              <w:rPr>
                <w:color w:themeColor="text1" w:val="000000"/>
              </w:rPr>
            </w:pPr>
            <w:r>
              <w:rPr>
                <w:color w:themeColor="text1" w:val="000000"/>
              </w:rPr>
              <w:t>-</w:t>
            </w:r>
          </w:p>
        </w:tc>
        <w:tc>
          <w:tcPr>
            <w:tcW w:type="dxa" w:w="8770"/>
            <w:gridSpan w:val="8"/>
            <w:tcBorders>
              <w:top w:sz="4" w:val="nil"/>
              <w:left w:sz="4" w:val="nil"/>
              <w:bottom w:sz="4" w:val="nil"/>
              <w:right w:sz="4" w:val="nil"/>
            </w:tcBorders>
            <w:tcMar>
              <w:top w:type="dxa" w:w="102"/>
              <w:left w:type="dxa" w:w="62"/>
              <w:bottom w:type="dxa" w:w="102"/>
              <w:right w:type="dxa" w:w="62"/>
            </w:tcMar>
          </w:tcPr>
          <w:p w14:paraId="01020000">
            <w:pPr>
              <w:widowControl w:val="1"/>
              <w:ind/>
              <w:jc w:val="both"/>
              <w:rPr>
                <w:color w:themeColor="text1" w:val="000000"/>
              </w:rPr>
            </w:pPr>
            <w:r>
              <w:rPr>
                <w:color w:themeColor="text1" w:val="000000"/>
              </w:rPr>
              <w:t>адрес регистрации по месту нахождения (жительства/пребывания);</w:t>
            </w:r>
          </w:p>
        </w:tc>
      </w:tr>
      <w:tr>
        <w:tc>
          <w:tcPr>
            <w:tcW w:type="dxa" w:w="584"/>
            <w:tcBorders>
              <w:top w:sz="4" w:val="nil"/>
              <w:left w:sz="4" w:val="nil"/>
              <w:bottom w:sz="4" w:val="nil"/>
              <w:right w:sz="4" w:val="nil"/>
            </w:tcBorders>
            <w:tcMar>
              <w:top w:type="dxa" w:w="102"/>
              <w:left w:type="dxa" w:w="62"/>
              <w:bottom w:type="dxa" w:w="102"/>
              <w:right w:type="dxa" w:w="62"/>
            </w:tcMar>
          </w:tcPr>
          <w:p w14:paraId="02020000">
            <w:pPr>
              <w:widowControl w:val="1"/>
              <w:ind/>
              <w:jc w:val="center"/>
              <w:rPr>
                <w:color w:themeColor="text1" w:val="000000"/>
              </w:rPr>
            </w:pPr>
            <w:r>
              <w:rPr>
                <w:color w:themeColor="text1" w:val="000000"/>
              </w:rPr>
              <w:t>-</w:t>
            </w:r>
          </w:p>
        </w:tc>
        <w:tc>
          <w:tcPr>
            <w:tcW w:type="dxa" w:w="8770"/>
            <w:gridSpan w:val="8"/>
            <w:tcBorders>
              <w:top w:sz="4" w:val="nil"/>
              <w:left w:sz="4" w:val="nil"/>
              <w:bottom w:sz="4" w:val="nil"/>
              <w:right w:sz="4" w:val="nil"/>
            </w:tcBorders>
            <w:tcMar>
              <w:top w:type="dxa" w:w="102"/>
              <w:left w:type="dxa" w:w="62"/>
              <w:bottom w:type="dxa" w:w="102"/>
              <w:right w:type="dxa" w:w="62"/>
            </w:tcMar>
          </w:tcPr>
          <w:p w14:paraId="03020000">
            <w:pPr>
              <w:widowControl w:val="1"/>
              <w:ind/>
              <w:jc w:val="both"/>
              <w:rPr>
                <w:color w:themeColor="text1" w:val="000000"/>
              </w:rPr>
            </w:pPr>
            <w:r>
              <w:rPr>
                <w:color w:themeColor="text1" w:val="000000"/>
              </w:rPr>
              <w:t xml:space="preserve">иная информация, относящаяся к персональным данным в соответствии </w:t>
            </w:r>
            <w:r>
              <w:rPr>
                <w:color w:themeColor="text1" w:val="000000"/>
              </w:rPr>
              <w:br/>
            </w:r>
            <w:r>
              <w:rPr>
                <w:color w:themeColor="text1" w:val="000000"/>
              </w:rPr>
              <w:t xml:space="preserve">с законодательством Российской Федерации (далее – персональные данные), </w:t>
            </w:r>
            <w:r>
              <w:rPr>
                <w:color w:themeColor="text1" w:val="000000"/>
              </w:rPr>
              <w:br/>
            </w:r>
            <w:r>
              <w:rPr>
                <w:color w:themeColor="text1" w:val="000000"/>
              </w:rPr>
              <w:t xml:space="preserve">и необходимая в целях проверки соблюдения условий и порядка предоставления </w:t>
            </w:r>
            <w:r>
              <w:rPr>
                <w:color w:themeColor="text1" w:val="000000"/>
              </w:rPr>
              <w:br/>
            </w:r>
            <w:r>
              <w:rPr>
                <w:color w:themeColor="text1" w:val="000000"/>
              </w:rPr>
              <w:t xml:space="preserve">в 2025 году субсидий субъектам деятельности в сфере промышленности </w:t>
            </w:r>
            <w:r>
              <w:rPr>
                <w:color w:themeColor="text1" w:val="000000"/>
              </w:rPr>
              <w:br/>
            </w:r>
            <w:r>
              <w:rPr>
                <w:color w:themeColor="text1" w:val="000000"/>
              </w:rPr>
              <w:t xml:space="preserve">в Санкт-Петербурге в целях возмещения части затрат организаций, связанных </w:t>
            </w:r>
            <w:r>
              <w:rPr>
                <w:color w:themeColor="text1" w:val="000000"/>
              </w:rPr>
              <w:br/>
            </w:r>
            <w:r>
              <w:rPr>
                <w:color w:themeColor="text1" w:val="000000"/>
              </w:rPr>
              <w:t>с осуществлением найма жилья сотрудникам из других регионов.</w:t>
            </w:r>
          </w:p>
        </w:tc>
      </w:tr>
      <w:tr>
        <w:tc>
          <w:tcPr>
            <w:tcW w:type="dxa" w:w="9354"/>
            <w:gridSpan w:val="9"/>
            <w:tcBorders>
              <w:top w:sz="4" w:val="nil"/>
              <w:left w:sz="4" w:val="nil"/>
              <w:bottom w:sz="4" w:val="nil"/>
              <w:right w:sz="4" w:val="nil"/>
            </w:tcBorders>
            <w:tcMar>
              <w:top w:type="dxa" w:w="102"/>
              <w:left w:type="dxa" w:w="62"/>
              <w:bottom w:type="dxa" w:w="102"/>
              <w:right w:type="dxa" w:w="62"/>
            </w:tcMar>
          </w:tcPr>
          <w:p w14:paraId="04020000">
            <w:pPr>
              <w:widowControl w:val="1"/>
              <w:ind w:firstLine="567"/>
              <w:jc w:val="both"/>
              <w:rPr>
                <w:color w:themeColor="text1" w:val="000000"/>
              </w:rPr>
            </w:pPr>
            <w:r>
              <w:rPr>
                <w:color w:themeColor="text1" w:val="000000"/>
              </w:rPr>
              <w:t xml:space="preserve">Настоящее согласие предоставляется мной на осуществление действий </w:t>
            </w:r>
            <w:r>
              <w:rPr>
                <w:color w:themeColor="text1" w:val="000000"/>
              </w:rPr>
              <w:br/>
            </w:r>
            <w:r>
              <w:rPr>
                <w:color w:themeColor="text1" w:val="000000"/>
              </w:rPr>
              <w:t xml:space="preserve">в отношении моих персональных данных, которые необходимы для достижения указанных целей проверки, включая (без ограничения) сбор, систематизацию, накопление, хранение, уточнение (обновление, изменение), использование, передачу третьим лицам </w:t>
            </w:r>
            <w:r>
              <w:rPr>
                <w:color w:themeColor="text1" w:val="000000"/>
              </w:rPr>
              <w:t xml:space="preserve">для осуществления действий по обмену информацией, обезличивание, </w:t>
            </w:r>
            <w:r>
              <w:rPr>
                <w:color w:themeColor="text1" w:val="000000"/>
              </w:rPr>
              <w:br/>
            </w:r>
            <w:r>
              <w:rPr>
                <w:color w:themeColor="text1" w:val="000000"/>
              </w:rPr>
              <w:t>а также осуществление любых иных действий, предусмотренных действующим законодательством Российской Федерации.</w:t>
            </w:r>
          </w:p>
          <w:p w14:paraId="05020000">
            <w:pPr>
              <w:widowControl w:val="1"/>
              <w:ind w:firstLine="567"/>
              <w:jc w:val="both"/>
              <w:rPr>
                <w:color w:themeColor="text1" w:val="000000"/>
              </w:rPr>
            </w:pPr>
            <w:r>
              <w:rPr>
                <w:color w:themeColor="text1" w:val="000000"/>
              </w:rPr>
              <w:t xml:space="preserve">Я проинформирован, что Комитет 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 так </w:t>
            </w:r>
            <w:r>
              <w:rPr>
                <w:color w:themeColor="text1" w:val="000000"/>
              </w:rPr>
              <w:br/>
            </w:r>
            <w:r>
              <w:rPr>
                <w:color w:themeColor="text1" w:val="000000"/>
              </w:rPr>
              <w:t>и автоматизированным способами.</w:t>
            </w:r>
          </w:p>
          <w:p w14:paraId="06020000">
            <w:pPr>
              <w:widowControl w:val="1"/>
              <w:ind w:firstLine="567"/>
              <w:jc w:val="both"/>
              <w:rPr>
                <w:color w:themeColor="text1" w:val="000000"/>
              </w:rPr>
            </w:pPr>
            <w:r>
              <w:rPr>
                <w:color w:themeColor="text1" w:val="000000"/>
              </w:rPr>
              <w:t>Данное согласие действует до достижения целей обработки персональных данных или в течение срока хранения информации.</w:t>
            </w:r>
          </w:p>
          <w:p w14:paraId="07020000">
            <w:pPr>
              <w:widowControl w:val="1"/>
              <w:ind w:firstLine="567"/>
              <w:jc w:val="both"/>
              <w:rPr>
                <w:color w:themeColor="text1" w:val="000000"/>
              </w:rPr>
            </w:pPr>
            <w:r>
              <w:rPr>
                <w:color w:themeColor="text1" w:val="000000"/>
              </w:rPr>
              <w:t>Данное согласие может быть отозвано в любой момент по моему письменному заявлению.</w:t>
            </w:r>
          </w:p>
          <w:p w14:paraId="08020000">
            <w:pPr>
              <w:widowControl w:val="1"/>
              <w:ind w:firstLine="567"/>
              <w:jc w:val="both"/>
              <w:rPr>
                <w:color w:themeColor="text1" w:val="000000"/>
              </w:rPr>
            </w:pPr>
            <w:r>
              <w:rPr>
                <w:color w:themeColor="text1" w:val="000000"/>
              </w:rPr>
              <w:t xml:space="preserve">Я подтверждаю, что, давая такое согласие, я действую по собственной воле </w:t>
            </w:r>
            <w:r>
              <w:rPr>
                <w:color w:themeColor="text1" w:val="000000"/>
              </w:rPr>
              <w:br/>
            </w:r>
            <w:r>
              <w:rPr>
                <w:color w:themeColor="text1" w:val="000000"/>
              </w:rPr>
              <w:t>и в своих интересах.</w:t>
            </w:r>
          </w:p>
          <w:p w14:paraId="09020000">
            <w:pPr>
              <w:widowControl w:val="1"/>
              <w:ind w:firstLine="567"/>
              <w:jc w:val="both"/>
              <w:rPr>
                <w:color w:themeColor="text1" w:val="000000"/>
              </w:rPr>
            </w:pPr>
            <w:r>
              <w:rPr>
                <w:color w:themeColor="text1" w:val="000000"/>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&lt;*&gt; ________________________________________.</w:t>
            </w:r>
          </w:p>
          <w:p w14:paraId="0A020000">
            <w:pPr>
              <w:widowControl w:val="1"/>
              <w:ind w:firstLine="567"/>
              <w:jc w:val="both"/>
              <w:rPr>
                <w:color w:themeColor="text1" w:val="000000"/>
              </w:rPr>
            </w:pPr>
            <w:r>
              <w:rPr>
                <w:color w:themeColor="text1" w:val="000000"/>
              </w:rPr>
              <w:t xml:space="preserve">Условия, при которых полученные персональные данные могут передаваться оператором, осуществляющим обработку персональных данных, только </w:t>
            </w:r>
            <w:r>
              <w:rPr>
                <w:color w:themeColor="text1" w:val="000000"/>
              </w:rPr>
              <w:t>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&lt;*&gt;:__________________________</w:t>
            </w:r>
          </w:p>
          <w:p w14:paraId="0B020000">
            <w:pPr>
              <w:widowControl w:val="1"/>
              <w:ind/>
              <w:jc w:val="both"/>
              <w:rPr>
                <w:color w:themeColor="text1" w:val="000000"/>
              </w:rPr>
            </w:pPr>
            <w:r>
              <w:rPr>
                <w:color w:themeColor="text1" w:val="000000"/>
              </w:rPr>
              <w:t xml:space="preserve"> ____________________________________________________________________________</w:t>
            </w:r>
          </w:p>
        </w:tc>
      </w:tr>
      <w:tr>
        <w:tc>
          <w:tcPr>
            <w:tcW w:type="dxa" w:w="9354"/>
            <w:gridSpan w:val="9"/>
            <w:tcBorders>
              <w:top w:sz="4" w:val="nil"/>
              <w:left w:sz="4" w:val="nil"/>
              <w:bottom w:sz="4" w:val="nil"/>
              <w:right w:sz="4" w:val="nil"/>
            </w:tcBorders>
            <w:tcMar>
              <w:top w:type="dxa" w:w="102"/>
              <w:left w:type="dxa" w:w="62"/>
              <w:bottom w:type="dxa" w:w="102"/>
              <w:right w:type="dxa" w:w="62"/>
            </w:tcMar>
          </w:tcPr>
          <w:p w14:paraId="0C020000">
            <w:pPr>
              <w:widowControl w:val="1"/>
              <w:ind w:firstLine="283"/>
              <w:jc w:val="both"/>
              <w:rPr>
                <w:color w:themeColor="text1" w:val="000000"/>
              </w:rPr>
            </w:pPr>
            <w:r>
              <w:rPr>
                <w:color w:themeColor="text1" w:val="000000"/>
              </w:rPr>
              <w:t>Срок действия настоящего согласия – 1 год с даты подачи заявления, если не указан иной срок.</w:t>
            </w:r>
          </w:p>
          <w:p w14:paraId="0D020000">
            <w:pPr>
              <w:widowControl w:val="1"/>
              <w:ind w:firstLine="283"/>
              <w:jc w:val="both"/>
              <w:rPr>
                <w:color w:themeColor="text1" w:val="000000"/>
              </w:rPr>
            </w:pPr>
            <w:r>
              <w:rPr>
                <w:color w:themeColor="text1" w:val="000000"/>
              </w:rPr>
              <w:t>Указать иной срок действия согласия на обработку персональных данных&lt;*&gt;:</w:t>
            </w:r>
          </w:p>
        </w:tc>
      </w:tr>
      <w:tr>
        <w:tc>
          <w:tcPr>
            <w:tcW w:type="dxa" w:w="9004"/>
            <w:gridSpan w:val="8"/>
            <w:tcBorders>
              <w:top w:sz="4" w:val="nil"/>
              <w:left w:sz="4" w:val="nil"/>
              <w:bottom w:color="000000" w:sz="4" w:val="single"/>
              <w:right w:sz="4" w:val="nil"/>
            </w:tcBorders>
            <w:tcMar>
              <w:top w:type="dxa" w:w="102"/>
              <w:left w:type="dxa" w:w="62"/>
              <w:bottom w:type="dxa" w:w="102"/>
              <w:right w:type="dxa" w:w="62"/>
            </w:tcMar>
          </w:tcPr>
          <w:p w14:paraId="0E020000">
            <w:pPr>
              <w:rPr>
                <w:color w:themeColor="text1" w:val="000000"/>
              </w:rPr>
            </w:pPr>
          </w:p>
        </w:tc>
        <w:tc>
          <w:tcPr>
            <w:tcW w:type="dxa" w:w="350"/>
            <w:tcBorders>
              <w:top w:sz="4" w:val="nil"/>
              <w:left w:sz="4" w:val="nil"/>
              <w:bottom w:sz="4" w:val="nil"/>
              <w:right w:sz="4" w:val="nil"/>
            </w:tcBorders>
            <w:tcMar>
              <w:top w:type="dxa" w:w="102"/>
              <w:left w:type="dxa" w:w="62"/>
              <w:bottom w:type="dxa" w:w="102"/>
              <w:right w:type="dxa" w:w="62"/>
            </w:tcMar>
          </w:tcPr>
          <w:p w14:paraId="0F020000">
            <w:pPr>
              <w:widowControl w:val="1"/>
              <w:ind/>
              <w:jc w:val="both"/>
              <w:rPr>
                <w:color w:themeColor="text1" w:val="000000"/>
              </w:rPr>
            </w:pPr>
            <w:r>
              <w:rPr>
                <w:color w:themeColor="text1" w:val="000000"/>
              </w:rPr>
              <w:t>.</w:t>
            </w:r>
          </w:p>
        </w:tc>
      </w:tr>
      <w:tr>
        <w:tc>
          <w:tcPr>
            <w:tcW w:type="dxa" w:w="1940"/>
            <w:gridSpan w:val="3"/>
            <w:tcBorders>
              <w:top w:sz="4" w:val="nil"/>
              <w:left w:sz="4" w:val="nil"/>
              <w:bottom w:sz="4" w:val="nil"/>
              <w:right w:sz="4" w:val="nil"/>
            </w:tcBorders>
            <w:tcMar>
              <w:top w:type="dxa" w:w="102"/>
              <w:left w:type="dxa" w:w="62"/>
              <w:bottom w:type="dxa" w:w="102"/>
              <w:right w:type="dxa" w:w="62"/>
            </w:tcMar>
          </w:tcPr>
          <w:p w14:paraId="10020000">
            <w:pPr>
              <w:rPr>
                <w:color w:themeColor="text1" w:val="000000"/>
              </w:rPr>
            </w:pPr>
          </w:p>
          <w:p w14:paraId="11020000">
            <w:pPr>
              <w:rPr>
                <w:color w:themeColor="text1" w:val="000000"/>
              </w:rPr>
            </w:pPr>
            <w:r>
              <w:rPr>
                <w:color w:themeColor="text1" w:val="000000"/>
              </w:rPr>
              <w:t>Подпись &lt;**&gt;:</w:t>
            </w:r>
          </w:p>
        </w:tc>
        <w:tc>
          <w:tcPr>
            <w:tcW w:type="dxa" w:w="3348"/>
            <w:gridSpan w:val="4"/>
            <w:tcBorders>
              <w:top w:sz="4" w:val="nil"/>
              <w:left w:sz="4" w:val="nil"/>
              <w:bottom w:color="000000" w:sz="4" w:val="single"/>
              <w:right w:sz="4" w:val="nil"/>
            </w:tcBorders>
            <w:tcMar>
              <w:top w:type="dxa" w:w="102"/>
              <w:left w:type="dxa" w:w="62"/>
              <w:bottom w:type="dxa" w:w="102"/>
              <w:right w:type="dxa" w:w="62"/>
            </w:tcMar>
          </w:tcPr>
          <w:p w14:paraId="12020000">
            <w:pPr>
              <w:widowControl w:val="1"/>
              <w:ind/>
              <w:jc w:val="both"/>
              <w:rPr>
                <w:color w:themeColor="text1" w:val="000000"/>
              </w:rPr>
            </w:pPr>
          </w:p>
        </w:tc>
        <w:tc>
          <w:tcPr>
            <w:tcW w:type="dxa" w:w="4066"/>
            <w:gridSpan w:val="2"/>
            <w:tcBorders>
              <w:top w:sz="4" w:val="nil"/>
              <w:left w:sz="4" w:val="nil"/>
              <w:bottom w:sz="4" w:val="nil"/>
              <w:right w:sz="4" w:val="nil"/>
            </w:tcBorders>
            <w:tcMar>
              <w:top w:type="dxa" w:w="102"/>
              <w:left w:type="dxa" w:w="62"/>
              <w:bottom w:type="dxa" w:w="102"/>
              <w:right w:type="dxa" w:w="62"/>
            </w:tcMar>
          </w:tcPr>
          <w:p w14:paraId="13020000">
            <w:pPr>
              <w:widowControl w:val="1"/>
              <w:ind/>
              <w:jc w:val="both"/>
              <w:rPr>
                <w:color w:themeColor="text1" w:val="000000"/>
              </w:rPr>
            </w:pPr>
          </w:p>
        </w:tc>
      </w:tr>
      <w:tr>
        <w:tc>
          <w:tcPr>
            <w:tcW w:type="dxa" w:w="9354"/>
            <w:gridSpan w:val="9"/>
            <w:tcBorders>
              <w:top w:sz="4" w:val="nil"/>
              <w:left w:sz="4" w:val="nil"/>
              <w:bottom w:sz="4" w:val="nil"/>
              <w:right w:sz="4" w:val="nil"/>
            </w:tcBorders>
            <w:tcMar>
              <w:top w:type="dxa" w:w="102"/>
              <w:left w:type="dxa" w:w="62"/>
              <w:bottom w:type="dxa" w:w="102"/>
              <w:right w:type="dxa" w:w="62"/>
            </w:tcMar>
          </w:tcPr>
          <w:p w14:paraId="14020000">
            <w:pPr>
              <w:widowControl w:val="1"/>
              <w:ind w:firstLine="540"/>
              <w:jc w:val="both"/>
              <w:rPr>
                <w:color w:themeColor="text1" w:val="000000"/>
                <w:sz w:val="20"/>
              </w:rPr>
            </w:pPr>
            <w:r>
              <w:rPr>
                <w:color w:themeColor="text1" w:val="000000"/>
                <w:sz w:val="20"/>
              </w:rPr>
              <w:t>--------------------------------</w:t>
            </w:r>
          </w:p>
          <w:p w14:paraId="15020000">
            <w:pPr>
              <w:widowControl w:val="1"/>
              <w:ind w:firstLine="540"/>
              <w:jc w:val="both"/>
              <w:rPr>
                <w:color w:themeColor="text1" w:val="000000"/>
                <w:sz w:val="20"/>
              </w:rPr>
            </w:pPr>
            <w:r>
              <w:rPr>
                <w:color w:themeColor="text1" w:val="000000"/>
                <w:sz w:val="20"/>
              </w:rPr>
              <w:t>&lt;*&gt; Заполняется по желанию субъекта персональных данных.</w:t>
            </w:r>
          </w:p>
          <w:p w14:paraId="16020000">
            <w:pPr>
              <w:widowControl w:val="1"/>
              <w:ind w:firstLine="540"/>
              <w:jc w:val="both"/>
              <w:rPr>
                <w:color w:themeColor="text1" w:val="000000"/>
                <w:sz w:val="20"/>
              </w:rPr>
            </w:pPr>
            <w:r>
              <w:rPr>
                <w:color w:themeColor="text1" w:val="000000"/>
                <w:sz w:val="20"/>
              </w:rPr>
              <w:t>&lt;**&gt; Проставляется собственноручная подпись лица, предоставившего персональные данные.</w:t>
            </w:r>
          </w:p>
        </w:tc>
      </w:tr>
    </w:tbl>
    <w:p w14:paraId="17020000">
      <w:pPr>
        <w:widowControl w:val="0"/>
        <w:tabs>
          <w:tab w:leader="none" w:pos="709" w:val="left"/>
          <w:tab w:leader="none" w:pos="1134" w:val="left"/>
          <w:tab w:leader="none" w:pos="6804" w:val="left"/>
        </w:tabs>
        <w:ind/>
        <w:jc w:val="both"/>
        <w:rPr>
          <w:color w:themeColor="text1" w:val="000000"/>
        </w:rPr>
      </w:pPr>
    </w:p>
    <w:p w14:paraId="18020000">
      <w:pPr>
        <w:widowControl w:val="0"/>
        <w:spacing w:line="250" w:lineRule="auto"/>
        <w:ind w:firstLine="709" w:left="4254"/>
        <w:rPr>
          <w:color w:themeColor="text1" w:val="000000"/>
        </w:rPr>
      </w:pPr>
      <w:r>
        <w:rPr>
          <w:color w:themeColor="text1" w:val="000000"/>
        </w:rPr>
        <w:t xml:space="preserve"> </w:t>
      </w:r>
    </w:p>
    <w:p w14:paraId="19020000">
      <w:pPr>
        <w:widowControl w:val="0"/>
        <w:spacing w:line="250" w:lineRule="auto"/>
        <w:ind w:firstLine="709" w:left="4254"/>
        <w:rPr>
          <w:color w:themeColor="text1" w:val="000000"/>
        </w:rPr>
      </w:pPr>
    </w:p>
    <w:p w14:paraId="1A020000">
      <w:pPr>
        <w:widowControl w:val="0"/>
        <w:spacing w:line="250" w:lineRule="auto"/>
        <w:ind w:firstLine="709" w:left="4254"/>
        <w:rPr>
          <w:color w:themeColor="text1" w:val="000000"/>
        </w:rPr>
      </w:pPr>
    </w:p>
    <w:p w14:paraId="1B020000">
      <w:pPr>
        <w:widowControl w:val="0"/>
        <w:spacing w:line="250" w:lineRule="auto"/>
        <w:ind w:firstLine="709" w:left="4254"/>
        <w:rPr>
          <w:color w:themeColor="text1" w:val="000000"/>
        </w:rPr>
      </w:pPr>
    </w:p>
    <w:p w14:paraId="1C020000">
      <w:pPr>
        <w:widowControl w:val="0"/>
        <w:spacing w:line="250" w:lineRule="auto"/>
        <w:ind w:firstLine="709" w:left="4254"/>
        <w:rPr>
          <w:color w:themeColor="text1" w:val="000000"/>
        </w:rPr>
      </w:pPr>
    </w:p>
    <w:p w14:paraId="1D020000">
      <w:pPr>
        <w:widowControl w:val="0"/>
        <w:spacing w:line="250" w:lineRule="auto"/>
        <w:ind w:firstLine="709" w:left="4254"/>
        <w:rPr>
          <w:color w:themeColor="text1" w:val="000000"/>
        </w:rPr>
      </w:pPr>
    </w:p>
    <w:p w14:paraId="1E020000">
      <w:pPr>
        <w:sectPr>
          <w:headerReference r:id="rId9" w:type="default"/>
          <w:headerReference r:id="rId7" w:type="first"/>
          <w:headerReference r:id="rId19" w:type="even"/>
          <w:pgSz w:h="16838" w:orient="portrait" w:w="11906"/>
          <w:pgMar w:bottom="851" w:footer="709" w:gutter="0" w:header="709" w:left="1701" w:right="849" w:top="1134"/>
          <w:pgNumType w:start="1"/>
          <w:titlePg/>
        </w:sectPr>
      </w:pPr>
    </w:p>
    <w:p w14:paraId="1F020000">
      <w:pPr>
        <w:widowControl w:val="0"/>
        <w:spacing w:line="250" w:lineRule="auto"/>
        <w:ind w:firstLine="709" w:left="4254"/>
        <w:rPr>
          <w:color w:themeColor="text1" w:val="000000"/>
        </w:rPr>
      </w:pPr>
      <w:r>
        <w:rPr>
          <w:color w:themeColor="text1" w:val="000000"/>
        </w:rPr>
        <w:t>Приложение № 3</w:t>
      </w:r>
    </w:p>
    <w:p w14:paraId="20020000">
      <w:pPr>
        <w:widowControl w:val="0"/>
        <w:ind w:left="4962"/>
        <w:rPr>
          <w:color w:themeColor="text1" w:val="000000"/>
          <w:sz w:val="32"/>
        </w:rPr>
      </w:pPr>
      <w:r>
        <w:rPr>
          <w:color w:themeColor="text1" w:val="000000"/>
        </w:rPr>
        <w:t xml:space="preserve">к Порядку предоставления в 2025 году субсидий субъектам деятельности в сфере промышленности в Санкт-Петербурге </w:t>
      </w:r>
      <w:r>
        <w:rPr>
          <w:color w:themeColor="text1" w:val="000000"/>
        </w:rPr>
        <w:br/>
      </w:r>
      <w:r>
        <w:rPr>
          <w:color w:themeColor="text1" w:val="000000"/>
        </w:rPr>
        <w:t xml:space="preserve">в целях возмещения части затрат организаций, связанных </w:t>
      </w:r>
      <w:r>
        <w:rPr>
          <w:color w:themeColor="text1" w:val="000000"/>
        </w:rPr>
        <w:br/>
      </w:r>
      <w:r>
        <w:rPr>
          <w:color w:themeColor="text1" w:val="000000"/>
        </w:rPr>
        <w:t>с осуществлением найма жилья сотрудникам из других регионов</w:t>
      </w:r>
      <w:r>
        <w:rPr>
          <w:color w:themeColor="text1" w:val="000000"/>
        </w:rPr>
        <w:br/>
      </w:r>
    </w:p>
    <w:p w14:paraId="21020000">
      <w:pPr>
        <w:widowControl w:val="0"/>
        <w:ind/>
        <w:jc w:val="center"/>
        <w:rPr>
          <w:b w:val="1"/>
          <w:color w:themeColor="text1" w:val="000000"/>
          <w:sz w:val="32"/>
        </w:rPr>
      </w:pPr>
    </w:p>
    <w:p w14:paraId="22020000">
      <w:pPr>
        <w:widowControl w:val="0"/>
        <w:ind/>
        <w:jc w:val="center"/>
        <w:rPr>
          <w:b w:val="1"/>
          <w:color w:themeColor="text1" w:val="000000"/>
        </w:rPr>
      </w:pPr>
    </w:p>
    <w:p w14:paraId="23020000">
      <w:pPr>
        <w:widowControl w:val="0"/>
        <w:ind/>
        <w:contextualSpacing w:val="1"/>
        <w:jc w:val="center"/>
        <w:rPr>
          <w:b w:val="1"/>
          <w:color w:themeColor="text1" w:val="000000"/>
        </w:rPr>
      </w:pPr>
      <w:r>
        <w:rPr>
          <w:b w:val="1"/>
          <w:color w:themeColor="text1" w:val="000000"/>
        </w:rPr>
        <w:t>ПЕРЕЧЕНЬ</w:t>
      </w:r>
    </w:p>
    <w:p w14:paraId="24020000">
      <w:pPr>
        <w:widowControl w:val="0"/>
        <w:ind/>
        <w:contextualSpacing w:val="1"/>
        <w:jc w:val="center"/>
        <w:rPr>
          <w:b w:val="1"/>
          <w:color w:themeColor="text1" w:val="000000"/>
        </w:rPr>
      </w:pPr>
      <w:r>
        <w:rPr>
          <w:b w:val="1"/>
          <w:color w:themeColor="text1" w:val="000000"/>
        </w:rPr>
        <w:t xml:space="preserve">отчетных документов, требования к ним, </w:t>
      </w:r>
    </w:p>
    <w:p w14:paraId="25020000">
      <w:pPr>
        <w:widowControl w:val="0"/>
        <w:ind/>
        <w:contextualSpacing w:val="1"/>
        <w:jc w:val="center"/>
        <w:rPr>
          <w:b w:val="1"/>
          <w:color w:themeColor="text1" w:val="000000"/>
        </w:rPr>
      </w:pPr>
      <w:r>
        <w:rPr>
          <w:b w:val="1"/>
          <w:color w:themeColor="text1" w:val="000000"/>
        </w:rPr>
        <w:t>а также порядок проверки отчетности и отчетных документов</w:t>
      </w:r>
    </w:p>
    <w:p w14:paraId="26020000">
      <w:pPr>
        <w:widowControl w:val="0"/>
        <w:ind/>
        <w:contextualSpacing w:val="1"/>
        <w:jc w:val="center"/>
        <w:rPr>
          <w:b w:val="1"/>
          <w:color w:themeColor="text1" w:val="000000"/>
          <w:sz w:val="36"/>
        </w:rPr>
      </w:pPr>
    </w:p>
    <w:p w14:paraId="27020000">
      <w:pPr>
        <w:widowControl w:val="1"/>
        <w:numPr>
          <w:ilvl w:val="0"/>
          <w:numId w:val="12"/>
        </w:numPr>
        <w:tabs>
          <w:tab w:leader="none" w:pos="993" w:val="left"/>
        </w:tabs>
        <w:ind w:firstLine="567" w:left="0"/>
        <w:jc w:val="both"/>
      </w:pPr>
      <w:bookmarkStart w:id="2" w:name="P588"/>
      <w:bookmarkEnd w:id="2"/>
      <w:r>
        <w:rPr>
          <w:color w:themeColor="text1" w:val="000000"/>
        </w:rPr>
        <w:t xml:space="preserve">В соответствии с пунктом 5.1 Порядка предоставления в 2025 году субсидий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w:t>
      </w:r>
      <w:r>
        <w:rPr>
          <w:color w:themeColor="text1" w:val="000000"/>
        </w:rPr>
        <w:t xml:space="preserve">из других регионов, </w:t>
      </w:r>
      <w:r>
        <w:t xml:space="preserve">утвержденного настоящим постановлением </w:t>
      </w:r>
      <w:r>
        <w:br/>
      </w:r>
      <w:r>
        <w:t xml:space="preserve">(далее соответственно – Порядок, субсидии), к отчетности, представляемой в Комитет </w:t>
      </w:r>
      <w:r>
        <w:br/>
      </w:r>
      <w:r>
        <w:t xml:space="preserve">по промышленной политике, инновациям и торговле Санкт-Петербурга (далее – Комитет) посредством Автоматизированной информационной системы - электронное казначейство (далее – АИС БП-ЭК), прилагаются скан-образы следующих отчетных документов </w:t>
      </w:r>
      <w:r>
        <w:br/>
      </w:r>
      <w:r>
        <w:t>(при наличии технической возможности):</w:t>
      </w:r>
    </w:p>
    <w:p w14:paraId="28020000">
      <w:pPr>
        <w:pStyle w:val="Style_8"/>
        <w:widowControl w:val="0"/>
        <w:numPr>
          <w:ilvl w:val="1"/>
          <w:numId w:val="13"/>
        </w:numPr>
        <w:tabs>
          <w:tab w:leader="none" w:pos="993" w:val="left"/>
        </w:tabs>
        <w:ind w:firstLine="567" w:left="0"/>
        <w:jc w:val="both"/>
      </w:pPr>
      <w:r>
        <w:t xml:space="preserve">Справки получателя субсидии, направляемой в Управление Федеральной службы государственной статистики по г. Санкт-Петербургу и Ленинградской области </w:t>
      </w:r>
      <w:r>
        <w:br/>
      </w:r>
      <w:r>
        <w:t>по форме федерального статистического наблюдения № 1-предприятие «Основные сведения о деятельности организации» по форме, утвержденной приказом Федеральной службы государственной статистики от 31.07.2024 № 334, за 2024 и 2025 годы.</w:t>
      </w:r>
    </w:p>
    <w:p w14:paraId="29020000">
      <w:pPr>
        <w:pStyle w:val="Style_8"/>
        <w:widowControl w:val="0"/>
        <w:numPr>
          <w:ilvl w:val="1"/>
          <w:numId w:val="13"/>
        </w:numPr>
        <w:tabs>
          <w:tab w:leader="none" w:pos="993" w:val="left"/>
        </w:tabs>
        <w:ind w:firstLine="567" w:left="0"/>
        <w:jc w:val="both"/>
        <w:rPr>
          <w:color w:themeColor="text1" w:val="000000"/>
        </w:rPr>
      </w:pPr>
      <w:r>
        <w:rPr>
          <w:color w:themeColor="text1" w:val="000000"/>
        </w:rPr>
        <w:t xml:space="preserve">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службы Российской Федерации (без разделов, содержащих персональные данные физических лиц) с отметками налогового органа, </w:t>
      </w:r>
      <w:r>
        <w:rPr>
          <w:color w:themeColor="text1" w:val="000000"/>
        </w:rPr>
        <w:br/>
      </w:r>
      <w:r>
        <w:rPr>
          <w:color w:themeColor="text1" w:val="000000"/>
        </w:rPr>
        <w:t>за 2025 год.</w:t>
      </w:r>
    </w:p>
    <w:p w14:paraId="2A020000">
      <w:pPr>
        <w:pStyle w:val="Style_8"/>
        <w:widowControl w:val="0"/>
        <w:numPr>
          <w:ilvl w:val="1"/>
          <w:numId w:val="13"/>
        </w:numPr>
        <w:tabs>
          <w:tab w:leader="none" w:pos="993" w:val="left"/>
        </w:tabs>
        <w:ind w:firstLine="567" w:left="0"/>
        <w:jc w:val="both"/>
      </w:pPr>
      <w:r>
        <w:t xml:space="preserve">Справки получателя субсидии в свободной форме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w:t>
      </w:r>
      <w:r>
        <w:br/>
      </w:r>
      <w:r>
        <w:t xml:space="preserve">в соответствии со статьей 139 Трудового кодекса Российской Федерации, был за период </w:t>
      </w:r>
      <w:r>
        <w:br/>
      </w:r>
      <w:r>
        <w:t xml:space="preserve">со дня принятия решения о предоставлении субсидии до даты, по состоянию на которую получателем субсидии сформирована отчетность о достижении значений результата </w:t>
      </w:r>
      <w:r>
        <w:br/>
      </w:r>
      <w:r>
        <w:t xml:space="preserve">и характеристик, не ниже размера минимальной заработной платы в Санкт-Петербурге, установленного региональным соглашением о минимальной заработной плате </w:t>
      </w:r>
      <w:r>
        <w:br/>
      </w:r>
      <w:r>
        <w:t xml:space="preserve">в Санкт-Петербурге на соответствующий период. </w:t>
      </w:r>
    </w:p>
    <w:p w14:paraId="2B020000">
      <w:pPr>
        <w:pStyle w:val="Style_8"/>
        <w:widowControl w:val="0"/>
        <w:numPr>
          <w:ilvl w:val="0"/>
          <w:numId w:val="12"/>
        </w:numPr>
        <w:tabs>
          <w:tab w:leader="none" w:pos="993" w:val="left"/>
          <w:tab w:leader="none" w:pos="1134" w:val="left"/>
        </w:tabs>
        <w:ind w:firstLine="567" w:left="0"/>
        <w:jc w:val="both"/>
      </w:pPr>
      <w:r>
        <w:t>Отчетность и отчетные документы помимо имеющихся в них реквизитных подписей (при наличии) также заверяются усиленной квалифицированной электронной подписью лица, подающего отчетность и отчетные документы.</w:t>
      </w:r>
    </w:p>
    <w:p w14:paraId="2C020000">
      <w:pPr>
        <w:widowControl w:val="1"/>
        <w:tabs>
          <w:tab w:leader="none" w:pos="1276" w:val="left"/>
        </w:tabs>
        <w:ind w:firstLine="567"/>
        <w:contextualSpacing w:val="1"/>
        <w:jc w:val="both"/>
      </w:pPr>
      <w:r>
        <w:t xml:space="preserve">Если отчетность и отчетные документы подаются лицом, действующим от имени </w:t>
      </w:r>
      <w:r>
        <w:br/>
      </w:r>
      <w:r>
        <w:t xml:space="preserve">и в интересах получателя субсидии на основании доверенности или иного документа </w:t>
      </w:r>
      <w:r>
        <w:br/>
      </w:r>
      <w:r>
        <w:t>в соответствии с уставом получателя субсидии и (или)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14:paraId="2D020000">
      <w:pPr>
        <w:widowControl w:val="1"/>
        <w:tabs>
          <w:tab w:leader="none" w:pos="1134" w:val="left"/>
        </w:tabs>
        <w:ind w:firstLine="567"/>
        <w:jc w:val="both"/>
        <w:rPr>
          <w:i w:val="1"/>
        </w:rPr>
      </w:pPr>
      <w:r>
        <w:t xml:space="preserve">Скан-образы представляемых отчетных документов должны соответствовать рекомендуемым форматам согласно инструкции, размещенной в АИС БП-ЭК, и иметь качество сканирования, достаточное для осуществления их анализа. </w:t>
      </w:r>
    </w:p>
    <w:p w14:paraId="2E020000">
      <w:pPr>
        <w:widowControl w:val="1"/>
        <w:tabs>
          <w:tab w:leader="none" w:pos="1134" w:val="left"/>
        </w:tabs>
        <w:ind w:firstLine="567"/>
        <w:jc w:val="both"/>
        <w:rPr>
          <w:i w:val="1"/>
          <w:color w:themeColor="text1" w:val="000000"/>
        </w:rPr>
      </w:pPr>
      <w:r>
        <w:rPr>
          <w:color w:themeColor="text1" w:val="000000"/>
        </w:rPr>
        <w:t>3</w:t>
      </w:r>
      <w:r>
        <w:rPr>
          <w:i w:val="1"/>
          <w:color w:themeColor="text1" w:val="000000"/>
        </w:rPr>
        <w:t xml:space="preserve">. </w:t>
      </w:r>
      <w:r>
        <w:rPr>
          <w:color w:themeColor="text1" w:val="000000"/>
        </w:rPr>
        <w:t xml:space="preserve">Проверка отчетности и отчетных документов в соответствии с пунктом 5.5 Порядка осуществляется отделом развития промышленных предприятий </w:t>
      </w:r>
      <w:r>
        <w:rPr>
          <w:color w:themeColor="text1" w:val="000000"/>
        </w:rPr>
        <w:br/>
      </w:r>
      <w:r>
        <w:rPr>
          <w:color w:themeColor="text1" w:val="000000"/>
        </w:rPr>
        <w:t xml:space="preserve">и оборонно-промышленного комплекса Управления развития промышленности </w:t>
      </w:r>
      <w:r>
        <w:rPr>
          <w:color w:themeColor="text1" w:val="000000"/>
        </w:rPr>
        <w:br/>
      </w:r>
      <w:r>
        <w:rPr>
          <w:color w:themeColor="text1" w:val="000000"/>
        </w:rPr>
        <w:t xml:space="preserve">и агропромышленного комплекса Комитета на предмет: </w:t>
      </w:r>
    </w:p>
    <w:p w14:paraId="2F020000">
      <w:pPr>
        <w:widowControl w:val="1"/>
        <w:tabs>
          <w:tab w:leader="none" w:pos="1134" w:val="left"/>
        </w:tabs>
        <w:ind w:firstLine="567"/>
        <w:jc w:val="both"/>
        <w:rPr>
          <w:color w:themeColor="text1" w:val="000000"/>
        </w:rPr>
      </w:pPr>
      <w:r>
        <w:rPr>
          <w:color w:themeColor="text1" w:val="000000"/>
        </w:rPr>
        <w:t>полноты представления отчетности и правильности ее оформления (правильность оформления означает, что информация, внесенная в разделы, подлежащие заполнению, должна соответствовать им по смыслу);</w:t>
      </w:r>
    </w:p>
    <w:p w14:paraId="30020000">
      <w:pPr>
        <w:widowControl w:val="1"/>
        <w:tabs>
          <w:tab w:leader="none" w:pos="1134" w:val="left"/>
        </w:tabs>
        <w:ind w:firstLine="567"/>
        <w:jc w:val="both"/>
        <w:rPr>
          <w:color w:themeColor="text1" w:val="000000"/>
        </w:rPr>
      </w:pPr>
      <w:r>
        <w:rPr>
          <w:color w:themeColor="text1" w:val="000000"/>
        </w:rPr>
        <w:t xml:space="preserve">соответствия отчетных документов настоящему Перечню и соблюдения требований </w:t>
      </w:r>
      <w:r>
        <w:rPr>
          <w:color w:themeColor="text1" w:val="000000"/>
        </w:rPr>
        <w:br/>
      </w:r>
      <w:r>
        <w:rPr>
          <w:color w:themeColor="text1" w:val="000000"/>
        </w:rPr>
        <w:t xml:space="preserve">к ним, установленных в настоящем Перечне. </w:t>
      </w:r>
    </w:p>
    <w:p w14:paraId="31020000">
      <w:pPr>
        <w:widowControl w:val="1"/>
        <w:tabs>
          <w:tab w:leader="none" w:pos="1134" w:val="left"/>
        </w:tabs>
        <w:ind w:firstLine="567"/>
        <w:jc w:val="both"/>
        <w:rPr>
          <w:color w:themeColor="text1" w:val="000000"/>
        </w:rPr>
      </w:pPr>
      <w:r>
        <w:rPr>
          <w:color w:themeColor="text1" w:val="000000"/>
        </w:rPr>
        <w:t>В случае наличия при проведении проверки отчетности и отчетных документов замечаний соответствующая информация отражается в уведомлении о замечаниях, подготавливаемом в соответствии с пунктом 6.3 Порядка, а также в акте проведения проверки, подготавливаемом в соответствии с пунктом 6.2 Порядка.</w:t>
      </w:r>
    </w:p>
    <w:p w14:paraId="32020000">
      <w:pPr>
        <w:widowControl w:val="1"/>
        <w:tabs>
          <w:tab w:leader="none" w:pos="1134" w:val="left"/>
        </w:tabs>
        <w:ind w:left="567"/>
        <w:contextualSpacing w:val="1"/>
        <w:jc w:val="both"/>
        <w:rPr>
          <w:color w:themeColor="text1" w:val="000000"/>
        </w:rPr>
      </w:pPr>
    </w:p>
    <w:p w14:paraId="33020000">
      <w:pPr>
        <w:widowControl w:val="1"/>
        <w:tabs>
          <w:tab w:leader="none" w:pos="1134" w:val="left"/>
        </w:tabs>
        <w:ind w:left="567"/>
        <w:contextualSpacing w:val="1"/>
        <w:jc w:val="both"/>
        <w:rPr>
          <w:color w:themeColor="text1" w:val="000000"/>
        </w:rPr>
      </w:pPr>
    </w:p>
    <w:p w14:paraId="34020000">
      <w:pPr>
        <w:widowControl w:val="1"/>
        <w:ind w:firstLine="567"/>
        <w:jc w:val="both"/>
        <w:rPr>
          <w:color w:themeColor="text1" w:val="000000"/>
        </w:rPr>
      </w:pPr>
      <w:r>
        <w:rPr>
          <w:color w:themeColor="text1" w:val="000000"/>
        </w:rPr>
        <w:t>Примечание.</w:t>
      </w:r>
    </w:p>
    <w:p w14:paraId="35020000">
      <w:pPr>
        <w:widowControl w:val="0"/>
        <w:ind w:firstLine="567"/>
        <w:jc w:val="both"/>
        <w:rPr>
          <w:color w:themeColor="text1" w:val="000000"/>
          <w:sz w:val="32"/>
        </w:rPr>
      </w:pPr>
      <w:r>
        <w:rPr>
          <w:color w:themeColor="text1" w:val="000000"/>
        </w:rPr>
        <w:t xml:space="preserve">Получателем субсидии обеспечивается наличие согласия субъекта персональных данных (физического лица) на обработку его персональных данных </w:t>
      </w:r>
      <w:r>
        <w:rPr>
          <w:color w:themeColor="text1" w:val="000000"/>
        </w:rPr>
        <w:br/>
      </w:r>
      <w:r>
        <w:rPr>
          <w:color w:themeColor="text1" w:val="000000"/>
        </w:rPr>
        <w:t xml:space="preserve">в соответствии с Федеральным </w:t>
      </w:r>
      <w:r>
        <w:rPr>
          <w:color w:themeColor="text1" w:val="000000"/>
        </w:rPr>
        <w:fldChar w:fldCharType="begin"/>
      </w:r>
      <w:r>
        <w:rPr>
          <w:color w:themeColor="text1" w:val="000000"/>
        </w:rPr>
        <w:instrText>HYPERLINK "consultantplus://offline/ref=0C7DB132F805BBE020F9CB7DCD15418B2B48A2A7261C964DF69204A55B25BF82417E99D9853CDD58BCDD24E3361BHAR"</w:instrText>
      </w:r>
      <w:r>
        <w:rPr>
          <w:color w:themeColor="text1" w:val="000000"/>
        </w:rPr>
        <w:fldChar w:fldCharType="separate"/>
      </w:r>
      <w:r>
        <w:rPr>
          <w:color w:themeColor="text1" w:val="000000"/>
        </w:rPr>
        <w:t>законом</w:t>
      </w:r>
      <w:r>
        <w:rPr>
          <w:color w:themeColor="text1" w:val="000000"/>
        </w:rPr>
        <w:fldChar w:fldCharType="end"/>
      </w:r>
      <w:r>
        <w:rPr>
          <w:color w:themeColor="text1" w:val="000000"/>
        </w:rPr>
        <w:t xml:space="preserve"> «О персональных данных» при передаче получателем субсидии информации, содержащей персональные данные субъекта персональных данных, в Комитет.</w:t>
      </w:r>
    </w:p>
    <w:sectPr>
      <w:headerReference r:id="rId13" w:type="default"/>
      <w:headerReference r:id="rId15" w:type="first"/>
      <w:headerReference r:id="rId20" w:type="even"/>
      <w:pgSz w:h="16838" w:orient="portrait" w:w="11906"/>
      <w:pgMar w:bottom="851" w:footer="709" w:gutter="0" w:header="709" w:left="1701" w:right="849" w:top="1276"/>
      <w:pgNumType w:start="1"/>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3C020000">
      <w:r>
        <w:separator/>
      </w:r>
    </w:p>
  </w:endnote>
  <w:endnote w:id="0" w:type="continuationSeparator">
    <w:p w14:paraId="3D020000">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36020000">
      <w:r>
        <w:separator/>
      </w:r>
    </w:p>
  </w:footnote>
  <w:footnote w:id="0" w:type="continuationSeparator">
    <w:p w14:paraId="37020000">
      <w:r>
        <w:continuationSeparator/>
      </w:r>
    </w:p>
  </w:footnote>
  <w:footnote w:id="1">
    <w:p w14:paraId="38020000">
      <w:pPr>
        <w:pStyle w:val="Style_38"/>
      </w:pPr>
      <w:r>
        <w:rPr>
          <w:vertAlign w:val="superscript"/>
        </w:rPr>
        <w:footnoteRef/>
      </w:r>
      <w:r>
        <w:t xml:space="preserve"> За исключением реорганизации в форме присоединения к Заявителю другого юридического лица.</w:t>
      </w:r>
    </w:p>
  </w:footnote>
  <w:footnote w:id="2">
    <w:p w14:paraId="39020000">
      <w:pPr>
        <w:widowControl w:val="1"/>
        <w:ind/>
        <w:jc w:val="both"/>
        <w:rPr>
          <w:sz w:val="20"/>
        </w:rPr>
      </w:pPr>
      <w:r>
        <w:rPr>
          <w:sz w:val="20"/>
          <w:vertAlign w:val="superscript"/>
        </w:rPr>
        <w:footnoteRef/>
      </w:r>
      <w:r>
        <w:t xml:space="preserve"> </w:t>
      </w:r>
      <w:r>
        <w:rPr>
          <w:sz w:val="20"/>
        </w:rPr>
        <w:t>При подписании заявки лицом, не имеющим права действовать от имени Заявителя без доверенности или иного уполномочивающего документа в соответствии с учредительными документами Заявителя и(или)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w:t>
      </w:r>
      <w:r>
        <w:rPr>
          <w:i w:val="1"/>
          <w:sz w:val="20"/>
        </w:rPr>
        <w:t>действующий(-</w:t>
      </w:r>
      <w:r>
        <w:rPr>
          <w:i w:val="1"/>
          <w:sz w:val="20"/>
        </w:rPr>
        <w:t>ая</w:t>
      </w:r>
      <w:r>
        <w:rPr>
          <w:i w:val="1"/>
          <w:sz w:val="20"/>
        </w:rPr>
        <w:t>) на основании…</w:t>
      </w:r>
      <w:r>
        <w:rPr>
          <w:sz w:val="20"/>
        </w:rPr>
        <w:t>».</w:t>
      </w:r>
    </w:p>
    <w:p w14:paraId="3A020000">
      <w:pPr>
        <w:pStyle w:val="Style_38"/>
        <w:widowControl w:val="1"/>
        <w:ind/>
        <w:jc w:val="both"/>
      </w:pPr>
    </w:p>
    <w:p w14:paraId="3B020000">
      <w:pPr>
        <w:pStyle w:val="Style_38"/>
        <w:rPr>
          <w:color w:val="FF0000"/>
        </w:rPr>
      </w:pP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0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1"/>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center"/>
    </w:pPr>
    <w:r>
      <w:fldChar w:fldCharType="begin"/>
    </w:r>
    <w:r>
      <w:instrText xml:space="preserve">PAGE </w:instrText>
    </w:r>
    <w:r>
      <w:fldChar w:fldCharType="separate"/>
    </w:r>
    <w:r>
      <w:t xml:space="preserve"> </w:t>
    </w:r>
    <w:r>
      <w:fldChar w:fldCharType="end"/>
    </w:r>
  </w:p>
  <w:p w14:paraId="14000000">
    <w:pPr>
      <w:pStyle w:val="Style_1"/>
      <w:widowControl w:val="1"/>
      <w:tabs>
        <w:tab w:leader="none" w:pos="2145" w:val="left"/>
        <w:tab w:leader="none" w:pos="4677" w:val="clear"/>
        <w:tab w:leader="none" w:pos="9355" w:val="clear"/>
      </w:tabs>
      <w:ind/>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widowControl w:val="1"/>
      <w:ind/>
      <w:jc w:val="center"/>
    </w:pPr>
    <w:r>
      <w:fldChar w:fldCharType="begin"/>
    </w:r>
    <w:r>
      <w:instrText xml:space="preserve">PAGE </w:instrText>
    </w:r>
    <w:r>
      <w:fldChar w:fldCharType="separate"/>
    </w:r>
    <w:r>
      <w:t xml:space="preserve"> </w:t>
    </w:r>
    <w:r>
      <w:fldChar w:fldCharType="end"/>
    </w:r>
  </w:p>
  <w:p w14:paraId="16000000"/>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widowControl w:val="1"/>
      <w:ind/>
      <w:jc w:val="center"/>
    </w:pPr>
    <w:r>
      <w:fldChar w:fldCharType="begin"/>
    </w:r>
    <w:r>
      <w:instrText xml:space="preserve">PAGE </w:instrText>
    </w:r>
    <w:r>
      <w:fldChar w:fldCharType="separate"/>
    </w:r>
    <w:r>
      <w:t xml:space="preserve"> </w:t>
    </w:r>
    <w:r>
      <w:fldChar w:fldCharType="end"/>
    </w:r>
  </w:p>
  <w:p w14:paraId="18000000"/>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9000000">
    <w:pPr>
      <w:pStyle w:val="Style_1"/>
    </w:pP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A000000">
    <w:pPr>
      <w:pStyle w:val="Style_1"/>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C000000">
    <w:pPr>
      <w:pStyle w:val="Style_1"/>
    </w:pPr>
  </w:p>
</w:hdr>
</file>

<file path=word/header1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E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D000000">
    <w:pPr>
      <w:pStyle w:val="Style_1"/>
    </w:pP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F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2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2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21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pPr>
    <w:r>
      <w:fldChar w:fldCharType="begin"/>
    </w:r>
    <w:r>
      <w:instrText xml:space="preserve">PAGE </w:instrText>
    </w:r>
    <w:r>
      <w:fldChar w:fldCharType="separate"/>
    </w:r>
    <w:r>
      <w:t xml:space="preserve"> </w:t>
    </w:r>
    <w:r>
      <w:fldChar w:fldCharType="end"/>
    </w:r>
  </w:p>
  <w:p w14:paraId="05000000">
    <w:pPr>
      <w:pStyle w:val="Style_1"/>
      <w:widowControl w:val="1"/>
      <w:tabs>
        <w:tab w:leader="none" w:pos="2145" w:val="left"/>
        <w:tab w:leader="none" w:pos="4677" w:val="clear"/>
        <w:tab w:leader="none" w:pos="9355" w:val="clear"/>
      </w:tabs>
      <w:ind/>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pPr>
    <w:r>
      <w:fldChar w:fldCharType="begin"/>
    </w:r>
    <w:r>
      <w:instrText xml:space="preserve">PAGE </w:instrText>
    </w:r>
    <w:r>
      <w:fldChar w:fldCharType="separate"/>
    </w:r>
    <w:r>
      <w:t xml:space="preserve"> </w:t>
    </w:r>
    <w:r>
      <w:fldChar w:fldCharType="end"/>
    </w:r>
  </w:p>
  <w:p w14:paraId="07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8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C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jc w:val="center"/>
    </w:pPr>
    <w:r>
      <w:fldChar w:fldCharType="begin"/>
    </w:r>
    <w:r>
      <w:instrText xml:space="preserve">PAGE </w:instrText>
    </w:r>
    <w:r>
      <w:fldChar w:fldCharType="separate"/>
    </w:r>
    <w:r>
      <w:t xml:space="preserve"> </w:t>
    </w:r>
    <w:r>
      <w:fldChar w:fldCharType="end"/>
    </w:r>
  </w:p>
  <w:p w14:paraId="0F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ind w:hanging="795" w:left="1363"/>
      </w:pPr>
      <w:rPr>
        <w:rFonts w:ascii="Times New Roman" w:hAnsi="Times New Roman"/>
        <w:b w:val="0"/>
        <w:color w:val="000000"/>
      </w:rPr>
    </w:lvl>
    <w:lvl w:ilvl="1">
      <w:start w:val="1"/>
      <w:numFmt w:val="decimal"/>
      <w:suff w:val="tab"/>
      <w:lvlText w:val="%1.%2."/>
      <w:lvlJc w:val="left"/>
      <w:pPr>
        <w:widowControl w:val="1"/>
        <w:ind w:hanging="720" w:left="1146"/>
      </w:pPr>
      <w:rPr>
        <w:strike w:val="0"/>
        <w:color w:themeColor="text1" w:val="000000"/>
      </w:rPr>
    </w:lvl>
    <w:lvl w:ilvl="2">
      <w:start w:val="1"/>
      <w:numFmt w:val="decimal"/>
      <w:suff w:val="tab"/>
      <w:lvlText w:val="%1.%2.%3."/>
      <w:lvlJc w:val="left"/>
      <w:pPr>
        <w:widowControl w:val="1"/>
        <w:ind w:hanging="720" w:left="322"/>
      </w:pPr>
      <w:rPr>
        <w:color w:themeColor="text1" w:val="000000"/>
      </w:rPr>
    </w:lvl>
    <w:lvl w:ilvl="3">
      <w:start w:val="1"/>
      <w:numFmt w:val="decimal"/>
      <w:suff w:val="tab"/>
      <w:lvlText w:val="%1.%2.%3.%4."/>
      <w:lvlJc w:val="left"/>
      <w:pPr>
        <w:widowControl w:val="1"/>
        <w:ind w:hanging="1080" w:left="709"/>
      </w:pPr>
    </w:lvl>
    <w:lvl w:ilvl="4">
      <w:start w:val="1"/>
      <w:numFmt w:val="decimal"/>
      <w:suff w:val="tab"/>
      <w:lvlText w:val="%1.%2.%3.%4.%5."/>
      <w:lvlJc w:val="left"/>
      <w:pPr>
        <w:widowControl w:val="1"/>
        <w:ind w:hanging="1080" w:left="736"/>
      </w:pPr>
    </w:lvl>
    <w:lvl w:ilvl="5">
      <w:start w:val="1"/>
      <w:numFmt w:val="decimal"/>
      <w:suff w:val="tab"/>
      <w:lvlText w:val="%1.%2.%3.%4.%5.%6."/>
      <w:lvlJc w:val="left"/>
      <w:pPr>
        <w:widowControl w:val="1"/>
        <w:ind w:hanging="1440" w:left="1123"/>
      </w:pPr>
    </w:lvl>
    <w:lvl w:ilvl="6">
      <w:start w:val="1"/>
      <w:numFmt w:val="decimal"/>
      <w:suff w:val="tab"/>
      <w:lvlText w:val="%1.%2.%3.%4.%5.%6.%7."/>
      <w:lvlJc w:val="left"/>
      <w:pPr>
        <w:widowControl w:val="1"/>
        <w:ind w:hanging="1440" w:left="1150"/>
      </w:pPr>
    </w:lvl>
    <w:lvl w:ilvl="7">
      <w:start w:val="1"/>
      <w:numFmt w:val="decimal"/>
      <w:suff w:val="tab"/>
      <w:lvlText w:val="%1.%2.%3.%4.%5.%6.%7.%8."/>
      <w:lvlJc w:val="left"/>
      <w:pPr>
        <w:widowControl w:val="1"/>
        <w:ind w:hanging="1800" w:left="1537"/>
      </w:pPr>
    </w:lvl>
    <w:lvl w:ilvl="8">
      <w:start w:val="1"/>
      <w:numFmt w:val="decimal"/>
      <w:suff w:val="tab"/>
      <w:lvlText w:val="%1.%2.%3.%4.%5.%6.%7.%8.%9."/>
      <w:lvlJc w:val="left"/>
      <w:pPr>
        <w:widowControl w:val="1"/>
        <w:ind w:hanging="1800" w:left="1564"/>
      </w:pPr>
    </w:lvl>
  </w:abstractNum>
  <w:abstractNum w:abstractNumId="1">
    <w:lvl w:ilvl="0">
      <w:start w:val="1"/>
      <w:numFmt w:val="decimal"/>
      <w:suff w:val="tab"/>
      <w:lvlText w:val="%1."/>
      <w:lvlJc w:val="left"/>
      <w:pPr>
        <w:widowControl w:val="1"/>
        <w:ind w:hanging="360" w:left="786"/>
      </w:pPr>
      <w:rPr>
        <w:b w:val="1"/>
      </w:rPr>
    </w:lvl>
    <w:lvl w:ilvl="1">
      <w:start w:val="17"/>
      <w:numFmt w:val="decimal"/>
      <w:suff w:val="tab"/>
      <w:lvlText w:val="%1.%2."/>
      <w:lvlJc w:val="left"/>
      <w:pPr>
        <w:widowControl w:val="1"/>
        <w:ind w:hanging="540" w:left="3865"/>
      </w:pPr>
    </w:lvl>
    <w:lvl w:ilvl="2">
      <w:start w:val="1"/>
      <w:numFmt w:val="decimal"/>
      <w:suff w:val="tab"/>
      <w:lvlText w:val="%1.%2.%3."/>
      <w:lvlJc w:val="left"/>
      <w:pPr>
        <w:widowControl w:val="1"/>
        <w:ind w:hanging="720" w:left="4394"/>
      </w:pPr>
    </w:lvl>
    <w:lvl w:ilvl="3">
      <w:start w:val="1"/>
      <w:numFmt w:val="decimal"/>
      <w:suff w:val="tab"/>
      <w:lvlText w:val="%1.%2.%3.%4."/>
      <w:lvlJc w:val="left"/>
      <w:pPr>
        <w:widowControl w:val="1"/>
        <w:ind w:hanging="720" w:left="4743"/>
      </w:pPr>
    </w:lvl>
    <w:lvl w:ilvl="4">
      <w:start w:val="1"/>
      <w:numFmt w:val="decimal"/>
      <w:suff w:val="tab"/>
      <w:lvlText w:val="%1.%2.%3.%4.%5."/>
      <w:lvlJc w:val="left"/>
      <w:pPr>
        <w:widowControl w:val="1"/>
        <w:ind w:hanging="1080" w:left="5452"/>
      </w:pPr>
    </w:lvl>
    <w:lvl w:ilvl="5">
      <w:start w:val="1"/>
      <w:numFmt w:val="decimal"/>
      <w:suff w:val="tab"/>
      <w:lvlText w:val="%1.%2.%3.%4.%5.%6."/>
      <w:lvlJc w:val="left"/>
      <w:pPr>
        <w:widowControl w:val="1"/>
        <w:ind w:hanging="1080" w:left="5801"/>
      </w:pPr>
    </w:lvl>
    <w:lvl w:ilvl="6">
      <w:start w:val="1"/>
      <w:numFmt w:val="decimal"/>
      <w:suff w:val="tab"/>
      <w:lvlText w:val="%1.%2.%3.%4.%5.%6.%7."/>
      <w:lvlJc w:val="left"/>
      <w:pPr>
        <w:widowControl w:val="1"/>
        <w:ind w:hanging="1440" w:left="6510"/>
      </w:pPr>
    </w:lvl>
    <w:lvl w:ilvl="7">
      <w:start w:val="1"/>
      <w:numFmt w:val="decimal"/>
      <w:suff w:val="tab"/>
      <w:lvlText w:val="%1.%2.%3.%4.%5.%6.%7.%8."/>
      <w:lvlJc w:val="left"/>
      <w:pPr>
        <w:widowControl w:val="1"/>
        <w:ind w:hanging="1440" w:left="6859"/>
      </w:pPr>
    </w:lvl>
    <w:lvl w:ilvl="8">
      <w:start w:val="1"/>
      <w:numFmt w:val="decimal"/>
      <w:suff w:val="tab"/>
      <w:lvlText w:val="%1.%2.%3.%4.%5.%6.%7.%8.%9."/>
      <w:lvlJc w:val="left"/>
      <w:pPr>
        <w:widowControl w:val="1"/>
        <w:ind w:hanging="1800" w:left="7568"/>
      </w:pPr>
    </w:lvl>
  </w:abstractNum>
  <w:abstractNum w:abstractNumId="2">
    <w:lvl w:ilvl="0">
      <w:start w:val="1"/>
      <w:numFmt w:val="decimal"/>
      <w:suff w:val="tab"/>
      <w:lvlText w:val="%1."/>
      <w:lvlJc w:val="left"/>
      <w:pPr>
        <w:widowControl w:val="1"/>
        <w:ind w:hanging="1425" w:left="1425"/>
      </w:pPr>
      <w:rPr>
        <w:color w:themeColor="text1" w:val="000000"/>
      </w:rPr>
    </w:lvl>
    <w:lvl w:ilvl="1">
      <w:start w:val="1"/>
      <w:numFmt w:val="decimal"/>
      <w:suff w:val="tab"/>
      <w:lvlText w:val="%1.%2."/>
      <w:lvlJc w:val="left"/>
      <w:pPr>
        <w:widowControl w:val="1"/>
        <w:ind w:hanging="1425" w:left="1993"/>
      </w:pPr>
      <w:rPr>
        <w:i w:val="0"/>
        <w:color w:themeColor="text1" w:val="000000"/>
      </w:rPr>
    </w:lvl>
    <w:lvl w:ilvl="2">
      <w:start w:val="1"/>
      <w:numFmt w:val="decimal"/>
      <w:suff w:val="tab"/>
      <w:lvlText w:val="%1.%2.%3."/>
      <w:lvlJc w:val="left"/>
      <w:pPr>
        <w:widowControl w:val="1"/>
        <w:ind w:hanging="1425" w:left="2843"/>
      </w:pPr>
      <w:rPr>
        <w:color w:themeColor="text1" w:val="000000"/>
      </w:rPr>
    </w:lvl>
    <w:lvl w:ilvl="3">
      <w:start w:val="1"/>
      <w:numFmt w:val="decimal"/>
      <w:suff w:val="tab"/>
      <w:lvlText w:val="%1.%2.%3.%4."/>
      <w:lvlJc w:val="left"/>
      <w:pPr>
        <w:widowControl w:val="1"/>
        <w:ind w:hanging="1425" w:left="3552"/>
      </w:pPr>
      <w:rPr>
        <w:color w:themeColor="text1" w:val="000000"/>
      </w:rPr>
    </w:lvl>
    <w:lvl w:ilvl="4">
      <w:start w:val="1"/>
      <w:numFmt w:val="decimal"/>
      <w:suff w:val="tab"/>
      <w:lvlText w:val="%1.%2.%3.%4.%5."/>
      <w:lvlJc w:val="left"/>
      <w:pPr>
        <w:widowControl w:val="1"/>
        <w:ind w:hanging="1425" w:left="4261"/>
      </w:pPr>
      <w:rPr>
        <w:color w:themeColor="text1" w:val="000000"/>
      </w:rPr>
    </w:lvl>
    <w:lvl w:ilvl="5">
      <w:start w:val="1"/>
      <w:numFmt w:val="decimal"/>
      <w:suff w:val="tab"/>
      <w:lvlText w:val="%1.%2.%3.%4.%5.%6."/>
      <w:lvlJc w:val="left"/>
      <w:pPr>
        <w:widowControl w:val="1"/>
        <w:ind w:hanging="1425" w:left="4970"/>
      </w:pPr>
      <w:rPr>
        <w:color w:themeColor="text1" w:val="000000"/>
      </w:rPr>
    </w:lvl>
    <w:lvl w:ilvl="6">
      <w:start w:val="1"/>
      <w:numFmt w:val="decimal"/>
      <w:suff w:val="tab"/>
      <w:lvlText w:val="%1.%2.%3.%4.%5.%6.%7."/>
      <w:lvlJc w:val="left"/>
      <w:pPr>
        <w:widowControl w:val="1"/>
        <w:ind w:hanging="1440" w:left="5694"/>
      </w:pPr>
      <w:rPr>
        <w:color w:themeColor="text1" w:val="000000"/>
      </w:rPr>
    </w:lvl>
    <w:lvl w:ilvl="7">
      <w:start w:val="1"/>
      <w:numFmt w:val="decimal"/>
      <w:suff w:val="tab"/>
      <w:lvlText w:val="%1.%2.%3.%4.%5.%6.%7.%8."/>
      <w:lvlJc w:val="left"/>
      <w:pPr>
        <w:widowControl w:val="1"/>
        <w:ind w:hanging="1440" w:left="6403"/>
      </w:pPr>
      <w:rPr>
        <w:color w:themeColor="text1" w:val="000000"/>
      </w:rPr>
    </w:lvl>
    <w:lvl w:ilvl="8">
      <w:start w:val="1"/>
      <w:numFmt w:val="decimal"/>
      <w:suff w:val="tab"/>
      <w:lvlText w:val="%1.%2.%3.%4.%5.%6.%7.%8.%9."/>
      <w:lvlJc w:val="left"/>
      <w:pPr>
        <w:widowControl w:val="1"/>
        <w:ind w:hanging="1800" w:left="7472"/>
      </w:pPr>
      <w:rPr>
        <w:color w:themeColor="text1" w:val="000000"/>
      </w:rPr>
    </w:lvl>
  </w:abstractNum>
  <w:abstractNum w:abstractNumId="3">
    <w:lvl w:ilvl="0">
      <w:start w:val="2"/>
      <w:numFmt w:val="decimal"/>
      <w:suff w:val="space"/>
      <w:lvlText w:val="%1."/>
      <w:lvlJc w:val="left"/>
    </w:lvl>
    <w:lvl w:ilvl="1">
      <w:start w:val="1"/>
      <w:numFmt w:val="decimal"/>
      <w:suff w:val="space"/>
      <w:lvlText w:val="%1.%2."/>
      <w:lvlJc w:val="left"/>
      <w:pPr>
        <w:widowControl w:val="1"/>
        <w:ind w:firstLine="0" w:left="4962"/>
      </w:pPr>
      <w:rPr>
        <w:i w:val="0"/>
        <w:strike w:val="0"/>
        <w:color w:themeColor="text1" w:val="000000"/>
      </w:rPr>
    </w:lvl>
    <w:lvl w:ilvl="2">
      <w:start w:val="1"/>
      <w:numFmt w:val="decimal"/>
      <w:suff w:val="space"/>
      <w:lvlText w:val="%1.%2.%3."/>
      <w:lvlJc w:val="left"/>
      <w:pPr>
        <w:widowControl w:val="1"/>
        <w:ind w:firstLine="0" w:left="5529"/>
      </w:pPr>
      <w:rPr>
        <w:i w:val="0"/>
        <w:strike w:val="0"/>
        <w:color w:themeColor="text1" w:val="000000"/>
      </w:rPr>
    </w:lvl>
    <w:lvl w:ilvl="3">
      <w:start w:val="1"/>
      <w:numFmt w:val="decimal"/>
      <w:suff w:val="space"/>
      <w:lvlText w:val="%1.%2.%3.%4."/>
      <w:lvlJc w:val="left"/>
      <w:pPr>
        <w:widowControl w:val="1"/>
        <w:ind w:firstLine="0" w:left="0"/>
      </w:pPr>
    </w:lvl>
    <w:lvl w:ilvl="4">
      <w:start w:val="1"/>
      <w:numFmt w:val="decimal"/>
      <w:suff w:val="space"/>
      <w:lvlText w:val="%1.%2.%3.%4.%5."/>
      <w:lvlJc w:val="left"/>
      <w:pPr>
        <w:widowControl w:val="1"/>
        <w:ind w:firstLine="0" w:left="0"/>
      </w:pPr>
    </w:lvl>
    <w:lvl w:ilvl="5">
      <w:start w:val="1"/>
      <w:numFmt w:val="decimal"/>
      <w:suff w:val="space"/>
      <w:lvlText w:val="%1.%2.%3.%4.%5.%6."/>
      <w:lvlJc w:val="left"/>
      <w:pPr>
        <w:widowControl w:val="1"/>
        <w:ind w:firstLine="0" w:left="0"/>
      </w:pPr>
    </w:lvl>
    <w:lvl w:ilvl="6">
      <w:start w:val="1"/>
      <w:numFmt w:val="decimal"/>
      <w:suff w:val="space"/>
      <w:lvlText w:val="%1.%2.%3.%4.%5.%6.%7."/>
      <w:lvlJc w:val="left"/>
      <w:pPr>
        <w:widowControl w:val="1"/>
        <w:ind w:firstLine="0" w:left="0"/>
      </w:pPr>
    </w:lvl>
    <w:lvl w:ilvl="7">
      <w:start w:val="1"/>
      <w:numFmt w:val="decimal"/>
      <w:suff w:val="space"/>
      <w:lvlText w:val="%1.%2.%3.%4.%5.%6.%7.%8."/>
      <w:lvlJc w:val="left"/>
      <w:pPr>
        <w:widowControl w:val="1"/>
        <w:ind w:firstLine="0" w:left="0"/>
      </w:pPr>
    </w:lvl>
    <w:lvl w:ilvl="8">
      <w:start w:val="1"/>
      <w:numFmt w:val="decimal"/>
      <w:suff w:val="space"/>
      <w:lvlText w:val="%1.%2.%3.%4.%5.%6.%7.%8.%9."/>
      <w:lvlJc w:val="left"/>
      <w:pPr>
        <w:widowControl w:val="1"/>
        <w:ind w:firstLine="0" w:left="0"/>
      </w:pPr>
    </w:lvl>
  </w:abstractNum>
  <w:abstractNum w:abstractNumId="4">
    <w:lvl w:ilvl="0">
      <w:start w:val="2"/>
      <w:numFmt w:val="decimal"/>
      <w:suff w:val="tab"/>
      <w:lvlText w:val="%1."/>
      <w:lvlJc w:val="left"/>
      <w:pPr>
        <w:widowControl w:val="1"/>
        <w:ind w:hanging="795" w:left="1363"/>
      </w:pPr>
      <w:rPr>
        <w:rFonts w:ascii="Times New Roman" w:hAnsi="Times New Roman"/>
        <w:b w:val="0"/>
        <w:color w:val="000000"/>
      </w:rPr>
    </w:lvl>
    <w:lvl w:ilvl="1">
      <w:start w:val="5"/>
      <w:numFmt w:val="decimal"/>
      <w:suff w:val="tab"/>
      <w:lvlText w:val="%1.%2."/>
      <w:lvlJc w:val="left"/>
      <w:pPr>
        <w:widowControl w:val="1"/>
        <w:ind w:hanging="720" w:left="1146"/>
      </w:pPr>
      <w:rPr>
        <w:strike w:val="0"/>
        <w:color w:val="000000"/>
      </w:rPr>
    </w:lvl>
    <w:lvl w:ilvl="2">
      <w:start w:val="1"/>
      <w:numFmt w:val="decimal"/>
      <w:suff w:val="tab"/>
      <w:lvlText w:val="%1.%2.%3."/>
      <w:lvlJc w:val="left"/>
      <w:pPr>
        <w:widowControl w:val="1"/>
        <w:ind w:hanging="720" w:left="322"/>
      </w:pPr>
      <w:rPr>
        <w:color w:val="000000"/>
      </w:rPr>
    </w:lvl>
    <w:lvl w:ilvl="3">
      <w:start w:val="1"/>
      <w:numFmt w:val="decimal"/>
      <w:suff w:val="tab"/>
      <w:lvlText w:val="%1.%2.%3.%4."/>
      <w:lvlJc w:val="left"/>
      <w:pPr>
        <w:widowControl w:val="1"/>
        <w:ind w:hanging="1080" w:left="709"/>
      </w:pPr>
    </w:lvl>
    <w:lvl w:ilvl="4">
      <w:start w:val="1"/>
      <w:numFmt w:val="decimal"/>
      <w:suff w:val="tab"/>
      <w:lvlText w:val="%1.%2.%3.%4.%5."/>
      <w:lvlJc w:val="left"/>
      <w:pPr>
        <w:widowControl w:val="1"/>
        <w:ind w:hanging="1080" w:left="736"/>
      </w:pPr>
    </w:lvl>
    <w:lvl w:ilvl="5">
      <w:start w:val="1"/>
      <w:numFmt w:val="decimal"/>
      <w:suff w:val="tab"/>
      <w:lvlText w:val="%1.%2.%3.%4.%5.%6."/>
      <w:lvlJc w:val="left"/>
      <w:pPr>
        <w:widowControl w:val="1"/>
        <w:ind w:hanging="1440" w:left="1123"/>
      </w:pPr>
    </w:lvl>
    <w:lvl w:ilvl="6">
      <w:start w:val="1"/>
      <w:numFmt w:val="decimal"/>
      <w:suff w:val="tab"/>
      <w:lvlText w:val="%1.%2.%3.%4.%5.%6.%7."/>
      <w:lvlJc w:val="left"/>
      <w:pPr>
        <w:widowControl w:val="1"/>
        <w:ind w:hanging="1440" w:left="1150"/>
      </w:pPr>
    </w:lvl>
    <w:lvl w:ilvl="7">
      <w:start w:val="1"/>
      <w:numFmt w:val="decimal"/>
      <w:suff w:val="tab"/>
      <w:lvlText w:val="%1.%2.%3.%4.%5.%6.%7.%8."/>
      <w:lvlJc w:val="left"/>
      <w:pPr>
        <w:widowControl w:val="1"/>
        <w:ind w:hanging="1800" w:left="1537"/>
      </w:pPr>
    </w:lvl>
    <w:lvl w:ilvl="8">
      <w:start w:val="1"/>
      <w:numFmt w:val="decimal"/>
      <w:suff w:val="tab"/>
      <w:lvlText w:val="%1.%2.%3.%4.%5.%6.%7.%8.%9."/>
      <w:lvlJc w:val="left"/>
      <w:pPr>
        <w:widowControl w:val="1"/>
        <w:ind w:hanging="1800" w:left="1564"/>
      </w:pPr>
    </w:lvl>
  </w:abstractNum>
  <w:abstractNum w:abstractNumId="5">
    <w:lvl w:ilvl="0">
      <w:start w:val="3"/>
      <w:numFmt w:val="decimal"/>
      <w:suff w:val="tab"/>
      <w:lvlText w:val="%1."/>
      <w:lvlJc w:val="left"/>
      <w:pPr>
        <w:widowControl w:val="1"/>
        <w:ind w:hanging="540" w:left="540"/>
      </w:pPr>
    </w:lvl>
    <w:lvl w:ilvl="1">
      <w:start w:val="1"/>
      <w:numFmt w:val="decimal"/>
      <w:suff w:val="tab"/>
      <w:lvlText w:val="%1.%2."/>
      <w:lvlJc w:val="left"/>
      <w:pPr>
        <w:widowControl w:val="1"/>
        <w:ind w:hanging="540" w:left="540"/>
      </w:pPr>
    </w:lvl>
    <w:lvl w:ilvl="2">
      <w:start w:val="1"/>
      <w:numFmt w:val="decimal"/>
      <w:suff w:val="tab"/>
      <w:lvlText w:val="%1.%2.%3."/>
      <w:lvlJc w:val="left"/>
      <w:pPr>
        <w:widowControl w:val="1"/>
        <w:ind w:hanging="720" w:left="720"/>
      </w:pPr>
      <w:rPr>
        <w:i w:val="0"/>
        <w:strike w:val="0"/>
        <w:color w:themeColor="text1" w:val="000000"/>
      </w:rPr>
    </w:lvl>
    <w:lvl w:ilvl="3">
      <w:start w:val="1"/>
      <w:numFmt w:val="decimal"/>
      <w:suff w:val="tab"/>
      <w:lvlText w:val="%1.%2.%3.%4."/>
      <w:lvlJc w:val="left"/>
      <w:pPr>
        <w:widowControl w:val="1"/>
        <w:ind w:hanging="720" w:left="72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080" w:left="108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440" w:left="1440"/>
      </w:pPr>
    </w:lvl>
    <w:lvl w:ilvl="8">
      <w:start w:val="1"/>
      <w:numFmt w:val="decimal"/>
      <w:suff w:val="tab"/>
      <w:lvlText w:val="%1.%2.%3.%4.%5.%6.%7.%8.%9."/>
      <w:lvlJc w:val="left"/>
      <w:pPr>
        <w:widowControl w:val="1"/>
        <w:ind w:hanging="1800" w:left="1800"/>
      </w:pPr>
    </w:lvl>
  </w:abstractNum>
  <w:abstractNum w:abstractNumId="6">
    <w:lvl w:ilvl="0">
      <w:start w:val="3"/>
      <w:numFmt w:val="decimal"/>
      <w:suff w:val="tab"/>
      <w:lvlText w:val="%1."/>
      <w:lvlJc w:val="left"/>
      <w:pPr>
        <w:widowControl w:val="1"/>
        <w:ind w:hanging="540" w:left="540"/>
      </w:pPr>
    </w:lvl>
    <w:lvl w:ilvl="1">
      <w:start w:val="2"/>
      <w:numFmt w:val="decimal"/>
      <w:suff w:val="tab"/>
      <w:lvlText w:val="%1.%2."/>
      <w:lvlJc w:val="left"/>
      <w:pPr>
        <w:widowControl w:val="1"/>
        <w:ind w:hanging="540" w:left="540"/>
      </w:pPr>
    </w:lvl>
    <w:lvl w:ilvl="2">
      <w:start w:val="1"/>
      <w:numFmt w:val="decimal"/>
      <w:suff w:val="tab"/>
      <w:lvlText w:val="%1.%2.%3."/>
      <w:lvlJc w:val="left"/>
      <w:pPr>
        <w:widowControl w:val="1"/>
        <w:ind w:hanging="720" w:left="720"/>
      </w:pPr>
      <w:rPr>
        <w:color w:themeColor="text1" w:val="000000"/>
      </w:rPr>
    </w:lvl>
    <w:lvl w:ilvl="3">
      <w:start w:val="1"/>
      <w:numFmt w:val="decimal"/>
      <w:suff w:val="tab"/>
      <w:lvlText w:val="%1.%2.%3.%4."/>
      <w:lvlJc w:val="left"/>
      <w:pPr>
        <w:widowControl w:val="1"/>
        <w:ind w:hanging="720" w:left="72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080" w:left="108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440" w:left="1440"/>
      </w:pPr>
    </w:lvl>
    <w:lvl w:ilvl="8">
      <w:start w:val="1"/>
      <w:numFmt w:val="decimal"/>
      <w:suff w:val="tab"/>
      <w:lvlText w:val="%1.%2.%3.%4.%5.%6.%7.%8.%9."/>
      <w:lvlJc w:val="left"/>
      <w:pPr>
        <w:widowControl w:val="1"/>
        <w:ind w:hanging="1800" w:left="1800"/>
      </w:pPr>
    </w:lvl>
  </w:abstractNum>
  <w:abstractNum w:abstractNumId="7">
    <w:lvl w:ilvl="0">
      <w:start w:val="4"/>
      <w:numFmt w:val="decimal"/>
      <w:suff w:val="tab"/>
      <w:lvlText w:val="%1."/>
      <w:lvlJc w:val="left"/>
      <w:pPr>
        <w:widowControl w:val="1"/>
        <w:ind w:hanging="360" w:left="360"/>
      </w:pPr>
      <w:rPr>
        <w:b w:val="1"/>
      </w:rPr>
    </w:lvl>
    <w:lvl w:ilvl="1">
      <w:start w:val="1"/>
      <w:numFmt w:val="decimal"/>
      <w:suff w:val="tab"/>
      <w:lvlText w:val="%1.%2."/>
      <w:lvlJc w:val="left"/>
      <w:pPr>
        <w:widowControl w:val="1"/>
        <w:ind w:hanging="360" w:left="2345"/>
      </w:pPr>
      <w:rPr>
        <w:i w:val="0"/>
        <w:color w:themeColor="text1" w:val="000000"/>
      </w:rPr>
    </w:lvl>
    <w:lvl w:ilvl="2">
      <w:start w:val="1"/>
      <w:numFmt w:val="decimal"/>
      <w:suff w:val="tab"/>
      <w:lvlText w:val="%1.%2.%3."/>
      <w:lvlJc w:val="left"/>
      <w:pPr>
        <w:widowControl w:val="1"/>
        <w:ind w:hanging="720" w:left="720"/>
      </w:pPr>
      <w:rPr>
        <w:color w:themeColor="text1" w:val="000000"/>
      </w:rPr>
    </w:lvl>
    <w:lvl w:ilvl="3">
      <w:start w:val="1"/>
      <w:numFmt w:val="decimal"/>
      <w:suff w:val="tab"/>
      <w:lvlText w:val="%1.%2.%3.%4."/>
      <w:lvlJc w:val="left"/>
      <w:pPr>
        <w:widowControl w:val="1"/>
        <w:ind w:hanging="720" w:left="72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080" w:left="108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440" w:left="1440"/>
      </w:pPr>
    </w:lvl>
    <w:lvl w:ilvl="8">
      <w:start w:val="1"/>
      <w:numFmt w:val="decimal"/>
      <w:suff w:val="tab"/>
      <w:lvlText w:val="%1.%2.%3.%4.%5.%6.%7.%8.%9."/>
      <w:lvlJc w:val="left"/>
      <w:pPr>
        <w:widowControl w:val="1"/>
        <w:ind w:hanging="1800" w:left="1800"/>
      </w:pPr>
    </w:lvl>
  </w:abstractNum>
  <w:abstractNum w:abstractNumId="8">
    <w:lvl w:ilvl="0">
      <w:start w:val="5"/>
      <w:numFmt w:val="decimal"/>
      <w:suff w:val="tab"/>
      <w:lvlText w:val="%1."/>
      <w:lvlJc w:val="left"/>
      <w:pPr>
        <w:widowControl w:val="1"/>
        <w:ind w:hanging="360" w:left="360"/>
      </w:pPr>
      <w:rPr>
        <w:b w:val="1"/>
        <w:i w:val="0"/>
      </w:rPr>
    </w:lvl>
    <w:lvl w:ilvl="1">
      <w:start w:val="1"/>
      <w:numFmt w:val="decimal"/>
      <w:suff w:val="tab"/>
      <w:lvlText w:val="%1.%2."/>
      <w:lvlJc w:val="left"/>
      <w:pPr>
        <w:widowControl w:val="1"/>
        <w:ind w:hanging="360" w:left="360"/>
      </w:pPr>
      <w:rPr>
        <w:i w:val="0"/>
        <w:color w:val="000000"/>
      </w:rPr>
    </w:lvl>
    <w:lvl w:ilvl="2">
      <w:start w:val="1"/>
      <w:numFmt w:val="decimal"/>
      <w:suff w:val="tab"/>
      <w:lvlText w:val="%1.%2.%3."/>
      <w:lvlJc w:val="left"/>
      <w:pPr>
        <w:widowControl w:val="1"/>
        <w:ind w:hanging="720" w:left="720"/>
      </w:pPr>
      <w:rPr>
        <w:i w:val="0"/>
      </w:rPr>
    </w:lvl>
    <w:lvl w:ilvl="3">
      <w:start w:val="1"/>
      <w:numFmt w:val="decimal"/>
      <w:suff w:val="tab"/>
      <w:lvlText w:val="%1.%2.%3.%4."/>
      <w:lvlJc w:val="left"/>
      <w:pPr>
        <w:widowControl w:val="1"/>
        <w:ind w:hanging="720" w:left="720"/>
      </w:pPr>
      <w:rPr>
        <w:i w:val="0"/>
      </w:rPr>
    </w:lvl>
    <w:lvl w:ilvl="4">
      <w:start w:val="1"/>
      <w:numFmt w:val="decimal"/>
      <w:suff w:val="tab"/>
      <w:lvlText w:val="%1.%2.%3.%4.%5."/>
      <w:lvlJc w:val="left"/>
      <w:pPr>
        <w:widowControl w:val="1"/>
        <w:ind w:hanging="1080" w:left="1080"/>
      </w:pPr>
      <w:rPr>
        <w:i w:val="0"/>
      </w:rPr>
    </w:lvl>
    <w:lvl w:ilvl="5">
      <w:start w:val="1"/>
      <w:numFmt w:val="decimal"/>
      <w:suff w:val="tab"/>
      <w:lvlText w:val="%1.%2.%3.%4.%5.%6."/>
      <w:lvlJc w:val="left"/>
      <w:pPr>
        <w:widowControl w:val="1"/>
        <w:ind w:hanging="1080" w:left="1080"/>
      </w:pPr>
      <w:rPr>
        <w:i w:val="0"/>
      </w:rPr>
    </w:lvl>
    <w:lvl w:ilvl="6">
      <w:start w:val="1"/>
      <w:numFmt w:val="decimal"/>
      <w:suff w:val="tab"/>
      <w:lvlText w:val="%1.%2.%3.%4.%5.%6.%7."/>
      <w:lvlJc w:val="left"/>
      <w:pPr>
        <w:widowControl w:val="1"/>
        <w:ind w:hanging="1440" w:left="1440"/>
      </w:pPr>
      <w:rPr>
        <w:i w:val="0"/>
      </w:rPr>
    </w:lvl>
    <w:lvl w:ilvl="7">
      <w:start w:val="1"/>
      <w:numFmt w:val="decimal"/>
      <w:suff w:val="tab"/>
      <w:lvlText w:val="%1.%2.%3.%4.%5.%6.%7.%8."/>
      <w:lvlJc w:val="left"/>
      <w:pPr>
        <w:widowControl w:val="1"/>
        <w:ind w:hanging="1440" w:left="1440"/>
      </w:pPr>
      <w:rPr>
        <w:i w:val="0"/>
      </w:rPr>
    </w:lvl>
    <w:lvl w:ilvl="8">
      <w:start w:val="1"/>
      <w:numFmt w:val="decimal"/>
      <w:suff w:val="tab"/>
      <w:lvlText w:val="%1.%2.%3.%4.%5.%6.%7.%8.%9."/>
      <w:lvlJc w:val="left"/>
      <w:pPr>
        <w:widowControl w:val="1"/>
        <w:ind w:hanging="1800" w:left="1800"/>
      </w:pPr>
      <w:rPr>
        <w:i w:val="0"/>
      </w:rPr>
    </w:lvl>
  </w:abstractNum>
  <w:abstractNum w:abstractNumId="9">
    <w:lvl w:ilvl="0">
      <w:start w:val="1"/>
      <w:numFmt w:val="decimal"/>
      <w:suff w:val="tab"/>
      <w:lvlText w:val="%1)"/>
      <w:lvlJc w:val="left"/>
      <w:pPr>
        <w:widowControl w:val="1"/>
        <w:ind w:hanging="360" w:left="1069"/>
      </w:pPr>
    </w:lvl>
    <w:lvl w:ilvl="1">
      <w:start w:val="1"/>
      <w:numFmt w:val="lowerLetter"/>
      <w:suff w:val="tab"/>
      <w:lvlText w:val="%2."/>
      <w:lvlJc w:val="left"/>
      <w:pPr>
        <w:widowControl w:val="1"/>
        <w:ind w:hanging="360" w:left="1789"/>
      </w:pPr>
    </w:lvl>
    <w:lvl w:ilvl="2">
      <w:start w:val="1"/>
      <w:numFmt w:val="lowerRoman"/>
      <w:suff w:val="tab"/>
      <w:lvlText w:val="%3."/>
      <w:lvlJc w:val="right"/>
      <w:pPr>
        <w:widowControl w:val="1"/>
        <w:ind w:hanging="180" w:left="2509"/>
      </w:pPr>
    </w:lvl>
    <w:lvl w:ilvl="3">
      <w:start w:val="1"/>
      <w:numFmt w:val="decimal"/>
      <w:suff w:val="tab"/>
      <w:lvlText w:val="%4."/>
      <w:lvlJc w:val="left"/>
      <w:pPr>
        <w:widowControl w:val="1"/>
        <w:ind w:hanging="360" w:left="3229"/>
      </w:pPr>
    </w:lvl>
    <w:lvl w:ilvl="4">
      <w:start w:val="1"/>
      <w:numFmt w:val="lowerLetter"/>
      <w:suff w:val="tab"/>
      <w:lvlText w:val="%5."/>
      <w:lvlJc w:val="left"/>
      <w:pPr>
        <w:widowControl w:val="1"/>
        <w:ind w:hanging="360" w:left="3949"/>
      </w:pPr>
    </w:lvl>
    <w:lvl w:ilvl="5">
      <w:start w:val="1"/>
      <w:numFmt w:val="lowerRoman"/>
      <w:suff w:val="tab"/>
      <w:lvlText w:val="%6."/>
      <w:lvlJc w:val="right"/>
      <w:pPr>
        <w:widowControl w:val="1"/>
        <w:ind w:hanging="180" w:left="4669"/>
      </w:pPr>
    </w:lvl>
    <w:lvl w:ilvl="6">
      <w:start w:val="1"/>
      <w:numFmt w:val="decimal"/>
      <w:suff w:val="tab"/>
      <w:lvlText w:val="%7."/>
      <w:lvlJc w:val="left"/>
      <w:pPr>
        <w:widowControl w:val="1"/>
        <w:ind w:hanging="360" w:left="5389"/>
      </w:pPr>
    </w:lvl>
    <w:lvl w:ilvl="7">
      <w:start w:val="1"/>
      <w:numFmt w:val="lowerLetter"/>
      <w:suff w:val="tab"/>
      <w:lvlText w:val="%8."/>
      <w:lvlJc w:val="left"/>
      <w:pPr>
        <w:widowControl w:val="1"/>
        <w:ind w:hanging="360" w:left="6109"/>
      </w:pPr>
    </w:lvl>
    <w:lvl w:ilvl="8">
      <w:start w:val="1"/>
      <w:numFmt w:val="lowerRoman"/>
      <w:suff w:val="tab"/>
      <w:lvlText w:val="%9."/>
      <w:lvlJc w:val="right"/>
      <w:pPr>
        <w:widowControl w:val="1"/>
        <w:ind w:hanging="180" w:left="6829"/>
      </w:pPr>
    </w:lvl>
  </w:abstractNum>
  <w:abstractNum w:abstractNumId="10">
    <w:lvl w:ilvl="0">
      <w:start w:val="1"/>
      <w:numFmt w:val="decimal"/>
      <w:suff w:val="tab"/>
      <w:lvlText w:val="%1."/>
      <w:lvlJc w:val="left"/>
      <w:pPr>
        <w:widowControl w:val="1"/>
        <w:ind w:hanging="1020" w:left="1729"/>
      </w:pPr>
      <w:rPr>
        <w:i w:val="0"/>
        <w:color w:themeColor="text1" w:val="000000"/>
      </w:rPr>
    </w:lvl>
    <w:lvl w:ilvl="1">
      <w:start w:val="1"/>
      <w:numFmt w:val="decimal"/>
      <w:suff w:val="tab"/>
      <w:lvlText w:val="%1.%2."/>
      <w:lvlJc w:val="left"/>
      <w:pPr>
        <w:widowControl w:val="1"/>
        <w:ind w:hanging="1425" w:left="1993"/>
      </w:pPr>
      <w:rPr>
        <w:i w:val="0"/>
        <w:color w:val="000000"/>
      </w:rPr>
    </w:lvl>
    <w:lvl w:ilvl="2">
      <w:start w:val="1"/>
      <w:numFmt w:val="decimal"/>
      <w:suff w:val="tab"/>
      <w:lvlText w:val="%1.%2.%3."/>
      <w:lvlJc w:val="left"/>
      <w:pPr>
        <w:widowControl w:val="1"/>
        <w:ind w:hanging="1425" w:left="2134"/>
      </w:pPr>
    </w:lvl>
    <w:lvl w:ilvl="3">
      <w:start w:val="1"/>
      <w:numFmt w:val="decimal"/>
      <w:suff w:val="tab"/>
      <w:lvlText w:val="%1.%2.%3.%4."/>
      <w:lvlJc w:val="left"/>
      <w:pPr>
        <w:widowControl w:val="1"/>
        <w:ind w:hanging="1425" w:left="2134"/>
      </w:pPr>
    </w:lvl>
    <w:lvl w:ilvl="4">
      <w:start w:val="1"/>
      <w:numFmt w:val="decimal"/>
      <w:suff w:val="tab"/>
      <w:lvlText w:val="%1.%2.%3.%4.%5."/>
      <w:lvlJc w:val="left"/>
      <w:pPr>
        <w:widowControl w:val="1"/>
        <w:ind w:hanging="1425" w:left="2134"/>
      </w:pPr>
    </w:lvl>
    <w:lvl w:ilvl="5">
      <w:start w:val="1"/>
      <w:numFmt w:val="decimal"/>
      <w:suff w:val="tab"/>
      <w:lvlText w:val="%1.%2.%3.%4.%5.%6."/>
      <w:lvlJc w:val="left"/>
      <w:pPr>
        <w:widowControl w:val="1"/>
        <w:ind w:hanging="1425" w:left="2134"/>
      </w:pPr>
    </w:lvl>
    <w:lvl w:ilvl="6">
      <w:start w:val="1"/>
      <w:numFmt w:val="decimal"/>
      <w:suff w:val="tab"/>
      <w:lvlText w:val="%1.%2.%3.%4.%5.%6.%7."/>
      <w:lvlJc w:val="left"/>
      <w:pPr>
        <w:widowControl w:val="1"/>
        <w:ind w:hanging="1440" w:left="2149"/>
      </w:pPr>
    </w:lvl>
    <w:lvl w:ilvl="7">
      <w:start w:val="1"/>
      <w:numFmt w:val="decimal"/>
      <w:suff w:val="tab"/>
      <w:lvlText w:val="%1.%2.%3.%4.%5.%6.%7.%8."/>
      <w:lvlJc w:val="left"/>
      <w:pPr>
        <w:widowControl w:val="1"/>
        <w:ind w:hanging="1440" w:left="2149"/>
      </w:pPr>
    </w:lvl>
    <w:lvl w:ilvl="8">
      <w:start w:val="1"/>
      <w:numFmt w:val="decimal"/>
      <w:suff w:val="tab"/>
      <w:lvlText w:val="%1.%2.%3.%4.%5.%6.%7.%8.%9."/>
      <w:lvlJc w:val="left"/>
      <w:pPr>
        <w:widowControl w:val="1"/>
        <w:ind w:hanging="1800" w:left="2509"/>
      </w:pPr>
    </w:lvl>
  </w:abstractNum>
  <w:abstractNum w:abstractNumId="11">
    <w:lvl w:ilvl="0">
      <w:start w:val="1"/>
      <w:numFmt w:val="decimal"/>
      <w:suff w:val="tab"/>
      <w:lvlText w:val="%1."/>
      <w:lvlJc w:val="left"/>
      <w:pPr>
        <w:widowControl w:val="1"/>
        <w:ind w:hanging="840" w:left="1380"/>
      </w:pPr>
      <w:rPr>
        <w:i w:val="0"/>
        <w:color w:themeColor="text1" w:val="000000"/>
      </w:rPr>
    </w:lvl>
    <w:lvl w:ilvl="1">
      <w:start w:val="1"/>
      <w:numFmt w:val="decimal"/>
      <w:suff w:val="tab"/>
      <w:lvlText w:val="%1.%2."/>
      <w:lvlJc w:val="left"/>
      <w:pPr>
        <w:widowControl w:val="1"/>
        <w:ind w:hanging="1020" w:left="1446"/>
      </w:pPr>
      <w:rPr>
        <w:i w:val="0"/>
        <w:color w:themeColor="text1" w:val="000000"/>
      </w:rPr>
    </w:lvl>
    <w:lvl w:ilvl="2">
      <w:start w:val="1"/>
      <w:numFmt w:val="decimal"/>
      <w:suff w:val="tab"/>
      <w:lvlText w:val="%1.%2.%3."/>
      <w:lvlJc w:val="left"/>
      <w:pPr>
        <w:widowControl w:val="1"/>
        <w:ind w:hanging="1020" w:left="1560"/>
      </w:pPr>
    </w:lvl>
    <w:lvl w:ilvl="3">
      <w:start w:val="1"/>
      <w:numFmt w:val="decimal"/>
      <w:suff w:val="tab"/>
      <w:lvlText w:val="%1.%2.%3.%4."/>
      <w:lvlJc w:val="left"/>
      <w:pPr>
        <w:widowControl w:val="1"/>
        <w:ind w:hanging="1020" w:left="1560"/>
      </w:pPr>
    </w:lvl>
    <w:lvl w:ilvl="4">
      <w:start w:val="1"/>
      <w:numFmt w:val="decimal"/>
      <w:suff w:val="tab"/>
      <w:lvlText w:val="%1.%2.%3.%4.%5."/>
      <w:lvlJc w:val="left"/>
      <w:pPr>
        <w:widowControl w:val="1"/>
        <w:ind w:hanging="1080" w:left="1620"/>
      </w:pPr>
    </w:lvl>
    <w:lvl w:ilvl="5">
      <w:start w:val="1"/>
      <w:numFmt w:val="decimal"/>
      <w:suff w:val="tab"/>
      <w:lvlText w:val="%1.%2.%3.%4.%5.%6."/>
      <w:lvlJc w:val="left"/>
      <w:pPr>
        <w:widowControl w:val="1"/>
        <w:ind w:hanging="1080" w:left="1620"/>
      </w:pPr>
    </w:lvl>
    <w:lvl w:ilvl="6">
      <w:start w:val="1"/>
      <w:numFmt w:val="decimal"/>
      <w:suff w:val="tab"/>
      <w:lvlText w:val="%1.%2.%3.%4.%5.%6.%7."/>
      <w:lvlJc w:val="left"/>
      <w:pPr>
        <w:widowControl w:val="1"/>
        <w:ind w:hanging="1440" w:left="1980"/>
      </w:pPr>
    </w:lvl>
    <w:lvl w:ilvl="7">
      <w:start w:val="1"/>
      <w:numFmt w:val="decimal"/>
      <w:suff w:val="tab"/>
      <w:lvlText w:val="%1.%2.%3.%4.%5.%6.%7.%8."/>
      <w:lvlJc w:val="left"/>
      <w:pPr>
        <w:widowControl w:val="1"/>
        <w:ind w:hanging="1440" w:left="1980"/>
      </w:pPr>
    </w:lvl>
    <w:lvl w:ilvl="8">
      <w:start w:val="1"/>
      <w:numFmt w:val="decimal"/>
      <w:suff w:val="tab"/>
      <w:lvlText w:val="%1.%2.%3.%4.%5.%6.%7.%8.%9."/>
      <w:lvlJc w:val="left"/>
      <w:pPr>
        <w:widowControl w:val="1"/>
        <w:ind w:hanging="1800" w:left="2340"/>
      </w:pPr>
    </w:lvl>
  </w:abstractNum>
  <w:abstractNum w:abstractNumId="12">
    <w:lvl w:ilvl="0">
      <w:start w:val="1"/>
      <w:numFmt w:val="decimal"/>
      <w:suff w:val="tab"/>
      <w:lvlText w:val="%1."/>
      <w:lvlJc w:val="left"/>
      <w:pPr>
        <w:widowControl w:val="1"/>
        <w:ind w:hanging="900" w:left="1467"/>
      </w:pPr>
    </w:lvl>
    <w:lvl w:ilvl="1">
      <w:start w:val="1"/>
      <w:numFmt w:val="decimal"/>
      <w:suff w:val="tab"/>
      <w:lvlText w:val="%1.%2."/>
      <w:lvlJc w:val="left"/>
      <w:pPr>
        <w:widowControl w:val="1"/>
        <w:ind w:hanging="1110" w:left="1677"/>
      </w:pPr>
      <w:rPr>
        <w:color w:val="000000"/>
      </w:rPr>
    </w:lvl>
    <w:lvl w:ilvl="2">
      <w:start w:val="1"/>
      <w:numFmt w:val="decimal"/>
      <w:suff w:val="tab"/>
      <w:lvlText w:val="%1.%2.%3."/>
      <w:lvlJc w:val="left"/>
      <w:pPr>
        <w:widowControl w:val="1"/>
        <w:ind w:hanging="1110" w:left="1677"/>
      </w:pPr>
      <w:rPr>
        <w:color w:val="000000"/>
      </w:rPr>
    </w:lvl>
    <w:lvl w:ilvl="3">
      <w:start w:val="1"/>
      <w:numFmt w:val="decimal"/>
      <w:suff w:val="tab"/>
      <w:lvlText w:val="%1.%2.%3.%4."/>
      <w:lvlJc w:val="left"/>
      <w:pPr>
        <w:widowControl w:val="1"/>
        <w:ind w:hanging="1110" w:left="1677"/>
      </w:pPr>
      <w:rPr>
        <w:color w:val="000000"/>
      </w:rPr>
    </w:lvl>
    <w:lvl w:ilvl="4">
      <w:start w:val="1"/>
      <w:numFmt w:val="decimal"/>
      <w:suff w:val="tab"/>
      <w:lvlText w:val="%1.%2.%3.%4.%5."/>
      <w:lvlJc w:val="left"/>
      <w:pPr>
        <w:widowControl w:val="1"/>
        <w:ind w:hanging="1110" w:left="1677"/>
      </w:pPr>
      <w:rPr>
        <w:color w:val="000000"/>
      </w:rPr>
    </w:lvl>
    <w:lvl w:ilvl="5">
      <w:start w:val="1"/>
      <w:numFmt w:val="decimal"/>
      <w:suff w:val="tab"/>
      <w:lvlText w:val="%1.%2.%3.%4.%5.%6."/>
      <w:lvlJc w:val="left"/>
      <w:pPr>
        <w:widowControl w:val="1"/>
        <w:ind w:hanging="1110" w:left="1677"/>
      </w:pPr>
      <w:rPr>
        <w:color w:val="000000"/>
      </w:rPr>
    </w:lvl>
    <w:lvl w:ilvl="6">
      <w:start w:val="1"/>
      <w:numFmt w:val="decimal"/>
      <w:suff w:val="tab"/>
      <w:lvlText w:val="%1.%2.%3.%4.%5.%6.%7."/>
      <w:lvlJc w:val="left"/>
      <w:pPr>
        <w:widowControl w:val="1"/>
        <w:ind w:hanging="1440" w:left="2007"/>
      </w:pPr>
      <w:rPr>
        <w:color w:val="000000"/>
      </w:rPr>
    </w:lvl>
    <w:lvl w:ilvl="7">
      <w:start w:val="1"/>
      <w:numFmt w:val="decimal"/>
      <w:suff w:val="tab"/>
      <w:lvlText w:val="%1.%2.%3.%4.%5.%6.%7.%8."/>
      <w:lvlJc w:val="left"/>
      <w:pPr>
        <w:widowControl w:val="1"/>
        <w:ind w:hanging="1440" w:left="2007"/>
      </w:pPr>
      <w:rPr>
        <w:color w:val="000000"/>
      </w:rPr>
    </w:lvl>
    <w:lvl w:ilvl="8">
      <w:start w:val="1"/>
      <w:numFmt w:val="decimal"/>
      <w:suff w:val="tab"/>
      <w:lvlText w:val="%1.%2.%3.%4.%5.%6.%7.%8.%9."/>
      <w:lvlJc w:val="left"/>
      <w:pPr>
        <w:widowControl w:val="1"/>
        <w:ind w:hanging="1800" w:left="2367"/>
      </w:pPr>
      <w:rPr>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9" w:type="paragraph">
    <w:name w:val="ConsPlusNormal"/>
    <w:link w:val="Style_9_ch"/>
    <w:rPr>
      <w:sz w:val="24"/>
    </w:rPr>
  </w:style>
  <w:style w:styleId="Style_9_ch" w:type="character">
    <w:name w:val="ConsPlusNormal"/>
    <w:link w:val="Style_9"/>
    <w:rPr>
      <w:sz w:val="24"/>
    </w:rPr>
  </w:style>
  <w:style w:styleId="Style_13" w:type="paragraph">
    <w:name w:val="toc 2"/>
    <w:next w:val="Style_4"/>
    <w:link w:val="Style_13_ch"/>
    <w:uiPriority w:val="39"/>
    <w:pPr>
      <w:widowControl w:val="1"/>
      <w:ind w:left="200"/>
    </w:pPr>
    <w:rPr>
      <w:rFonts w:ascii="XO Thames" w:hAnsi="XO Thames"/>
      <w:sz w:val="28"/>
    </w:rPr>
  </w:style>
  <w:style w:styleId="Style_13_ch" w:type="character">
    <w:name w:val="toc 2"/>
    <w:link w:val="Style_13"/>
    <w:rPr>
      <w:rFonts w:ascii="XO Thames" w:hAnsi="XO Thames"/>
      <w:sz w:val="28"/>
    </w:rPr>
  </w:style>
  <w:style w:styleId="Style_14" w:type="paragraph">
    <w:name w:val="Body Text Indent 3"/>
    <w:basedOn w:val="Style_4"/>
    <w:link w:val="Style_14_ch"/>
    <w:pPr>
      <w:widowControl w:val="1"/>
      <w:spacing w:after="120"/>
      <w:ind w:left="283"/>
    </w:pPr>
    <w:rPr>
      <w:sz w:val="16"/>
    </w:rPr>
  </w:style>
  <w:style w:styleId="Style_14_ch" w:type="character">
    <w:name w:val="Body Text Indent 3"/>
    <w:basedOn w:val="Style_4_ch"/>
    <w:link w:val="Style_14"/>
    <w:rPr>
      <w:sz w:val="16"/>
    </w:rPr>
  </w:style>
  <w:style w:styleId="Style_15" w:type="paragraph">
    <w:name w:val="toc 4"/>
    <w:next w:val="Style_4"/>
    <w:link w:val="Style_15_ch"/>
    <w:uiPriority w:val="39"/>
    <w:pPr>
      <w:widowControl w:val="1"/>
      <w:ind w:left="600"/>
    </w:pPr>
    <w:rPr>
      <w:rFonts w:ascii="XO Thames" w:hAnsi="XO Thames"/>
      <w:sz w:val="28"/>
    </w:rPr>
  </w:style>
  <w:style w:styleId="Style_15_ch" w:type="character">
    <w:name w:val="toc 4"/>
    <w:link w:val="Style_15"/>
    <w:rPr>
      <w:rFonts w:ascii="XO Thames" w:hAnsi="XO Thames"/>
      <w:sz w:val="28"/>
    </w:rPr>
  </w:style>
  <w:style w:styleId="Style_10" w:type="paragraph">
    <w:name w:val="bx-messenger-message"/>
    <w:basedOn w:val="Style_16"/>
    <w:link w:val="Style_10_ch"/>
  </w:style>
  <w:style w:styleId="Style_10_ch" w:type="character">
    <w:name w:val="bx-messenger-message"/>
    <w:basedOn w:val="Style_16_ch"/>
    <w:link w:val="Style_10"/>
  </w:style>
  <w:style w:styleId="Style_17" w:type="paragraph">
    <w:name w:val="Default Paragraph Font"/>
    <w:link w:val="Style_17_ch"/>
  </w:style>
  <w:style w:styleId="Style_17_ch" w:type="character">
    <w:name w:val="Default Paragraph Font"/>
    <w:link w:val="Style_17"/>
  </w:style>
  <w:style w:styleId="Style_18" w:type="paragraph">
    <w:name w:val="toc 6"/>
    <w:next w:val="Style_4"/>
    <w:link w:val="Style_18_ch"/>
    <w:uiPriority w:val="39"/>
    <w:pPr>
      <w:widowControl w:val="1"/>
      <w:ind w:left="1000"/>
    </w:pPr>
    <w:rPr>
      <w:rFonts w:ascii="XO Thames" w:hAnsi="XO Thames"/>
      <w:sz w:val="28"/>
    </w:rPr>
  </w:style>
  <w:style w:styleId="Style_18_ch" w:type="character">
    <w:name w:val="toc 6"/>
    <w:link w:val="Style_18"/>
    <w:rPr>
      <w:rFonts w:ascii="XO Thames" w:hAnsi="XO Thames"/>
      <w:sz w:val="28"/>
    </w:rPr>
  </w:style>
  <w:style w:styleId="Style_19" w:type="paragraph">
    <w:name w:val=".FORMATTEXT"/>
    <w:link w:val="Style_19_ch"/>
    <w:pPr>
      <w:widowControl w:val="0"/>
      <w:ind/>
    </w:pPr>
    <w:rPr>
      <w:sz w:val="24"/>
    </w:rPr>
  </w:style>
  <w:style w:styleId="Style_19_ch" w:type="character">
    <w:name w:val=".FORMATTEXT"/>
    <w:link w:val="Style_19"/>
    <w:rPr>
      <w:sz w:val="24"/>
    </w:rPr>
  </w:style>
  <w:style w:styleId="Style_20" w:type="paragraph">
    <w:name w:val="toc 7"/>
    <w:next w:val="Style_4"/>
    <w:link w:val="Style_20_ch"/>
    <w:uiPriority w:val="39"/>
    <w:pPr>
      <w:widowControl w:val="1"/>
      <w:ind w:left="1200"/>
    </w:pPr>
    <w:rPr>
      <w:rFonts w:ascii="XO Thames" w:hAnsi="XO Thames"/>
      <w:sz w:val="28"/>
    </w:rPr>
  </w:style>
  <w:style w:styleId="Style_20_ch" w:type="character">
    <w:name w:val="toc 7"/>
    <w:link w:val="Style_20"/>
    <w:rPr>
      <w:rFonts w:ascii="XO Thames" w:hAnsi="XO Thames"/>
      <w:sz w:val="28"/>
    </w:rPr>
  </w:style>
  <w:style w:styleId="Style_8" w:type="paragraph">
    <w:name w:val="List Paragraph"/>
    <w:basedOn w:val="Style_4"/>
    <w:link w:val="Style_8_ch"/>
    <w:pPr>
      <w:widowControl w:val="1"/>
      <w:ind w:left="720"/>
      <w:contextualSpacing w:val="1"/>
    </w:pPr>
  </w:style>
  <w:style w:styleId="Style_8_ch" w:type="character">
    <w:name w:val="List Paragraph"/>
    <w:basedOn w:val="Style_4_ch"/>
    <w:link w:val="Style_8"/>
  </w:style>
  <w:style w:styleId="Style_21" w:type="paragraph">
    <w:name w:val="Endnote"/>
    <w:basedOn w:val="Style_4"/>
    <w:link w:val="Style_21_ch"/>
    <w:rPr>
      <w:sz w:val="20"/>
    </w:rPr>
  </w:style>
  <w:style w:styleId="Style_21_ch" w:type="character">
    <w:name w:val="Endnote"/>
    <w:basedOn w:val="Style_4_ch"/>
    <w:link w:val="Style_21"/>
    <w:rPr>
      <w:sz w:val="20"/>
    </w:rPr>
  </w:style>
  <w:style w:styleId="Style_22" w:type="paragraph">
    <w:name w:val="heading 3"/>
    <w:basedOn w:val="Style_4"/>
    <w:next w:val="Style_4"/>
    <w:link w:val="Style_22_ch"/>
    <w:uiPriority w:val="9"/>
    <w:qFormat/>
    <w:pPr>
      <w:keepNext w:val="1"/>
      <w:keepLines w:val="1"/>
      <w:widowControl w:val="1"/>
      <w:spacing w:before="40"/>
      <w:ind/>
      <w:outlineLvl w:val="2"/>
    </w:pPr>
    <w:rPr>
      <w:rFonts w:asciiTheme="majorAscii" w:hAnsiTheme="majorHAnsi"/>
      <w:color w:themeColor="accent1" w:themeShade="7F" w:val="244061"/>
    </w:rPr>
  </w:style>
  <w:style w:styleId="Style_22_ch" w:type="character">
    <w:name w:val="heading 3"/>
    <w:basedOn w:val="Style_4_ch"/>
    <w:link w:val="Style_22"/>
    <w:rPr>
      <w:rFonts w:asciiTheme="majorAscii" w:hAnsiTheme="majorHAnsi"/>
      <w:color w:themeColor="accent1" w:themeShade="7F" w:val="244061"/>
    </w:rPr>
  </w:style>
  <w:style w:styleId="Style_1" w:type="paragraph">
    <w:name w:val="header"/>
    <w:basedOn w:val="Style_4"/>
    <w:link w:val="Style_1_ch"/>
    <w:pPr>
      <w:widowControl w:val="1"/>
      <w:tabs>
        <w:tab w:leader="none" w:pos="4677" w:val="center"/>
        <w:tab w:leader="none" w:pos="9355" w:val="right"/>
      </w:tabs>
      <w:ind/>
    </w:pPr>
  </w:style>
  <w:style w:styleId="Style_1_ch" w:type="character">
    <w:name w:val="header"/>
    <w:basedOn w:val="Style_4_ch"/>
    <w:link w:val="Style_1"/>
  </w:style>
  <w:style w:styleId="Style_23" w:type="paragraph">
    <w:name w:val="Document Map"/>
    <w:basedOn w:val="Style_4"/>
    <w:link w:val="Style_23_ch"/>
    <w:rPr>
      <w:rFonts w:ascii="Tahoma" w:hAnsi="Tahoma"/>
      <w:sz w:val="16"/>
    </w:rPr>
  </w:style>
  <w:style w:styleId="Style_23_ch" w:type="character">
    <w:name w:val="Document Map"/>
    <w:basedOn w:val="Style_4_ch"/>
    <w:link w:val="Style_23"/>
    <w:rPr>
      <w:rFonts w:ascii="Tahoma" w:hAnsi="Tahoma"/>
      <w:sz w:val="16"/>
    </w:rPr>
  </w:style>
  <w:style w:styleId="Style_24" w:type="paragraph">
    <w:name w:val="Знак концевой сноски1"/>
    <w:link w:val="Style_24_ch"/>
    <w:rPr>
      <w:vertAlign w:val="superscript"/>
    </w:rPr>
  </w:style>
  <w:style w:styleId="Style_24_ch" w:type="character">
    <w:name w:val="Знак концевой сноски1"/>
    <w:link w:val="Style_24"/>
    <w:rPr>
      <w:vertAlign w:val="superscript"/>
    </w:rPr>
  </w:style>
  <w:style w:styleId="Style_3" w:type="paragraph">
    <w:name w:val=".HEADERTEXT"/>
    <w:link w:val="Style_3_ch"/>
    <w:pPr>
      <w:widowControl w:val="0"/>
      <w:ind/>
    </w:pPr>
    <w:rPr>
      <w:rFonts w:ascii="Arial" w:hAnsi="Arial"/>
      <w:color w:val="2B4279"/>
      <w:sz w:val="22"/>
    </w:rPr>
  </w:style>
  <w:style w:styleId="Style_3_ch" w:type="character">
    <w:name w:val=".HEADERTEXT"/>
    <w:link w:val="Style_3"/>
    <w:rPr>
      <w:rFonts w:ascii="Arial" w:hAnsi="Arial"/>
      <w:color w:val="2B4279"/>
      <w:sz w:val="22"/>
    </w:rPr>
  </w:style>
  <w:style w:styleId="Style_25" w:type="paragraph">
    <w:name w:val="Знак Знак Знак Знак"/>
    <w:basedOn w:val="Style_4"/>
    <w:link w:val="Style_25_ch"/>
    <w:pPr>
      <w:widowControl w:val="0"/>
      <w:spacing w:after="160" w:line="240" w:lineRule="exact"/>
      <w:ind/>
      <w:jc w:val="right"/>
    </w:pPr>
    <w:rPr>
      <w:rFonts w:ascii="Arial" w:hAnsi="Arial"/>
      <w:sz w:val="20"/>
    </w:rPr>
  </w:style>
  <w:style w:styleId="Style_25_ch" w:type="character">
    <w:name w:val="Знак Знак Знак Знак"/>
    <w:basedOn w:val="Style_4_ch"/>
    <w:link w:val="Style_25"/>
    <w:rPr>
      <w:rFonts w:ascii="Arial" w:hAnsi="Arial"/>
      <w:sz w:val="20"/>
    </w:rPr>
  </w:style>
  <w:style w:styleId="Style_26" w:type="paragraph">
    <w:name w:val="Body Text Indent 2"/>
    <w:basedOn w:val="Style_4"/>
    <w:link w:val="Style_26_ch"/>
    <w:pPr>
      <w:widowControl w:val="1"/>
      <w:ind w:firstLine="550" w:right="352"/>
      <w:jc w:val="both"/>
    </w:pPr>
    <w:rPr>
      <w:sz w:val="28"/>
    </w:rPr>
  </w:style>
  <w:style w:styleId="Style_26_ch" w:type="character">
    <w:name w:val="Body Text Indent 2"/>
    <w:basedOn w:val="Style_4_ch"/>
    <w:link w:val="Style_26"/>
    <w:rPr>
      <w:sz w:val="28"/>
    </w:rPr>
  </w:style>
  <w:style w:styleId="Style_27" w:type="paragraph">
    <w:name w:val="Body Text"/>
    <w:basedOn w:val="Style_4"/>
    <w:link w:val="Style_27_ch"/>
    <w:pPr>
      <w:widowControl w:val="1"/>
      <w:spacing w:after="120"/>
      <w:ind/>
    </w:pPr>
  </w:style>
  <w:style w:styleId="Style_27_ch" w:type="character">
    <w:name w:val="Body Text"/>
    <w:basedOn w:val="Style_4_ch"/>
    <w:link w:val="Style_27"/>
  </w:style>
  <w:style w:styleId="Style_28" w:type="paragraph">
    <w:name w:val="ConsNormal"/>
    <w:link w:val="Style_28_ch"/>
    <w:pPr>
      <w:widowControl w:val="0"/>
      <w:ind w:firstLine="720" w:right="19772"/>
    </w:pPr>
    <w:rPr>
      <w:rFonts w:ascii="Arial" w:hAnsi="Arial"/>
    </w:rPr>
  </w:style>
  <w:style w:styleId="Style_28_ch" w:type="character">
    <w:name w:val="ConsNormal"/>
    <w:link w:val="Style_28"/>
    <w:rPr>
      <w:rFonts w:ascii="Arial" w:hAnsi="Arial"/>
    </w:rPr>
  </w:style>
  <w:style w:styleId="Style_29" w:type="paragraph">
    <w:name w:val="Замещающий текст1"/>
    <w:basedOn w:val="Style_16"/>
    <w:link w:val="Style_29_ch"/>
    <w:rPr>
      <w:color w:val="808080"/>
    </w:rPr>
  </w:style>
  <w:style w:styleId="Style_29_ch" w:type="character">
    <w:name w:val="Замещающий текст1"/>
    <w:basedOn w:val="Style_16_ch"/>
    <w:link w:val="Style_29"/>
    <w:rPr>
      <w:color w:val="808080"/>
    </w:rPr>
  </w:style>
  <w:style w:styleId="Style_30" w:type="paragraph">
    <w:name w:val="toc 3"/>
    <w:next w:val="Style_4"/>
    <w:link w:val="Style_30_ch"/>
    <w:uiPriority w:val="39"/>
    <w:pPr>
      <w:widowControl w:val="1"/>
      <w:ind w:left="400"/>
    </w:pPr>
    <w:rPr>
      <w:rFonts w:ascii="XO Thames" w:hAnsi="XO Thames"/>
      <w:sz w:val="28"/>
    </w:rPr>
  </w:style>
  <w:style w:styleId="Style_30_ch" w:type="character">
    <w:name w:val="toc 3"/>
    <w:link w:val="Style_30"/>
    <w:rPr>
      <w:rFonts w:ascii="XO Thames" w:hAnsi="XO Thames"/>
      <w:sz w:val="28"/>
    </w:rPr>
  </w:style>
  <w:style w:styleId="Style_7" w:type="paragraph">
    <w:name w:val="Font Style14"/>
    <w:link w:val="Style_7_ch"/>
    <w:rPr>
      <w:sz w:val="26"/>
    </w:rPr>
  </w:style>
  <w:style w:styleId="Style_7_ch" w:type="character">
    <w:name w:val="Font Style14"/>
    <w:link w:val="Style_7"/>
    <w:rPr>
      <w:sz w:val="26"/>
    </w:rPr>
  </w:style>
  <w:style w:styleId="Style_31" w:type="paragraph">
    <w:name w:val="Знак примечания1"/>
    <w:basedOn w:val="Style_16"/>
    <w:link w:val="Style_31_ch"/>
    <w:rPr>
      <w:sz w:val="16"/>
    </w:rPr>
  </w:style>
  <w:style w:styleId="Style_31_ch" w:type="character">
    <w:name w:val="Знак примечания1"/>
    <w:basedOn w:val="Style_16_ch"/>
    <w:link w:val="Style_31"/>
    <w:rPr>
      <w:sz w:val="16"/>
    </w:rPr>
  </w:style>
  <w:style w:styleId="Style_2" w:type="paragraph">
    <w:name w:val="Номер страницы1"/>
    <w:basedOn w:val="Style_16"/>
    <w:link w:val="Style_2_ch"/>
  </w:style>
  <w:style w:styleId="Style_2_ch" w:type="character">
    <w:name w:val="Номер страницы1"/>
    <w:basedOn w:val="Style_16_ch"/>
    <w:link w:val="Style_2"/>
  </w:style>
  <w:style w:styleId="Style_32" w:type="paragraph">
    <w:name w:val="Normal (Web)"/>
    <w:basedOn w:val="Style_4"/>
    <w:link w:val="Style_32_ch"/>
    <w:pPr>
      <w:widowControl w:val="1"/>
      <w:spacing w:after="30" w:before="30"/>
      <w:ind/>
    </w:pPr>
    <w:rPr>
      <w:rFonts w:ascii="Arial" w:hAnsi="Arial"/>
      <w:color w:val="332E2D"/>
      <w:spacing w:val="2"/>
    </w:rPr>
  </w:style>
  <w:style w:styleId="Style_32_ch" w:type="character">
    <w:name w:val="Normal (Web)"/>
    <w:basedOn w:val="Style_4_ch"/>
    <w:link w:val="Style_32"/>
    <w:rPr>
      <w:rFonts w:ascii="Arial" w:hAnsi="Arial"/>
      <w:color w:val="332E2D"/>
      <w:spacing w:val="2"/>
    </w:rPr>
  </w:style>
  <w:style w:styleId="Style_33" w:type="paragraph">
    <w:name w:val="Char Char Car Car Char Char Car Car Char Char Car Car Char Char"/>
    <w:basedOn w:val="Style_4"/>
    <w:link w:val="Style_33_ch"/>
    <w:pPr>
      <w:widowControl w:val="1"/>
      <w:spacing w:after="160" w:line="240" w:lineRule="exact"/>
      <w:ind/>
    </w:pPr>
    <w:rPr>
      <w:sz w:val="20"/>
    </w:rPr>
  </w:style>
  <w:style w:styleId="Style_33_ch" w:type="character">
    <w:name w:val="Char Char Car Car Char Char Car Car Char Char Car Car Char Char"/>
    <w:basedOn w:val="Style_4_ch"/>
    <w:link w:val="Style_33"/>
    <w:rPr>
      <w:sz w:val="20"/>
    </w:rPr>
  </w:style>
  <w:style w:styleId="Style_34" w:type="paragraph">
    <w:name w:val="heading 5"/>
    <w:next w:val="Style_4"/>
    <w:link w:val="Style_34_ch"/>
    <w:uiPriority w:val="9"/>
    <w:qFormat/>
    <w:pPr>
      <w:widowControl w:val="1"/>
      <w:spacing w:after="120" w:before="120"/>
      <w:ind/>
      <w:jc w:val="both"/>
      <w:outlineLvl w:val="4"/>
    </w:pPr>
    <w:rPr>
      <w:rFonts w:ascii="XO Thames" w:hAnsi="XO Thames"/>
      <w:b w:val="1"/>
      <w:sz w:val="22"/>
    </w:rPr>
  </w:style>
  <w:style w:styleId="Style_34_ch" w:type="character">
    <w:name w:val="heading 5"/>
    <w:link w:val="Style_34"/>
    <w:rPr>
      <w:rFonts w:ascii="XO Thames" w:hAnsi="XO Thames"/>
      <w:b w:val="1"/>
      <w:sz w:val="22"/>
    </w:rPr>
  </w:style>
  <w:style w:styleId="Style_35" w:type="paragraph">
    <w:name w:val="ConsNonformat"/>
    <w:link w:val="Style_35_ch"/>
    <w:pPr>
      <w:widowControl w:val="0"/>
      <w:ind w:right="19772"/>
    </w:pPr>
    <w:rPr>
      <w:rFonts w:ascii="Courier New" w:hAnsi="Courier New"/>
    </w:rPr>
  </w:style>
  <w:style w:styleId="Style_35_ch" w:type="character">
    <w:name w:val="ConsNonformat"/>
    <w:link w:val="Style_35"/>
    <w:rPr>
      <w:rFonts w:ascii="Courier New" w:hAnsi="Courier New"/>
    </w:rPr>
  </w:style>
  <w:style w:styleId="Style_36" w:type="paragraph">
    <w:name w:val="heading 1"/>
    <w:basedOn w:val="Style_4"/>
    <w:next w:val="Style_4"/>
    <w:link w:val="Style_36_ch"/>
    <w:uiPriority w:val="9"/>
    <w:qFormat/>
    <w:pPr>
      <w:keepNext w:val="1"/>
      <w:keepLines w:val="1"/>
      <w:widowControl w:val="1"/>
      <w:spacing w:before="480"/>
      <w:ind/>
      <w:outlineLvl w:val="0"/>
    </w:pPr>
    <w:rPr>
      <w:rFonts w:asciiTheme="majorAscii" w:hAnsiTheme="majorHAnsi"/>
      <w:b w:val="1"/>
      <w:color w:themeColor="accent1" w:themeShade="BF" w:val="376092"/>
      <w:sz w:val="28"/>
    </w:rPr>
  </w:style>
  <w:style w:styleId="Style_36_ch" w:type="character">
    <w:name w:val="heading 1"/>
    <w:basedOn w:val="Style_4_ch"/>
    <w:link w:val="Style_36"/>
    <w:rPr>
      <w:rFonts w:asciiTheme="majorAscii" w:hAnsiTheme="majorHAnsi"/>
      <w:b w:val="1"/>
      <w:color w:themeColor="accent1" w:themeShade="BF" w:val="376092"/>
      <w:sz w:val="28"/>
    </w:rPr>
  </w:style>
  <w:style w:styleId="Style_37" w:type="paragraph">
    <w:name w:val="Hyperlink"/>
    <w:link w:val="Style_37_ch"/>
    <w:rPr>
      <w:color w:val="0000FF"/>
      <w:u w:val="single"/>
    </w:rPr>
  </w:style>
  <w:style w:styleId="Style_37_ch" w:type="character">
    <w:name w:val="Hyperlink"/>
    <w:link w:val="Style_37"/>
    <w:rPr>
      <w:color w:val="0000FF"/>
      <w:u w:val="single"/>
    </w:rPr>
  </w:style>
  <w:style w:styleId="Style_38" w:type="paragraph">
    <w:name w:val="Footnote"/>
    <w:basedOn w:val="Style_4"/>
    <w:link w:val="Style_38_ch"/>
    <w:rPr>
      <w:sz w:val="20"/>
    </w:rPr>
  </w:style>
  <w:style w:styleId="Style_38_ch" w:type="character">
    <w:name w:val="Footnote"/>
    <w:basedOn w:val="Style_4_ch"/>
    <w:link w:val="Style_38"/>
    <w:rPr>
      <w:sz w:val="20"/>
    </w:rPr>
  </w:style>
  <w:style w:styleId="Style_39" w:type="paragraph">
    <w:name w:val="toc 1"/>
    <w:next w:val="Style_4"/>
    <w:link w:val="Style_39_ch"/>
    <w:uiPriority w:val="39"/>
    <w:rPr>
      <w:rFonts w:ascii="XO Thames" w:hAnsi="XO Thames"/>
      <w:b w:val="1"/>
      <w:sz w:val="28"/>
    </w:rPr>
  </w:style>
  <w:style w:styleId="Style_39_ch" w:type="character">
    <w:name w:val="toc 1"/>
    <w:link w:val="Style_39"/>
    <w:rPr>
      <w:rFonts w:ascii="XO Thames" w:hAnsi="XO Thames"/>
      <w:b w:val="1"/>
      <w:sz w:val="28"/>
    </w:rPr>
  </w:style>
  <w:style w:styleId="Style_40" w:type="paragraph">
    <w:name w:val="Header and Footer"/>
    <w:link w:val="Style_40_ch"/>
    <w:pPr>
      <w:widowControl w:val="1"/>
      <w:ind/>
      <w:jc w:val="both"/>
    </w:pPr>
    <w:rPr>
      <w:rFonts w:ascii="XO Thames" w:hAnsi="XO Thames"/>
      <w:sz w:val="28"/>
    </w:rPr>
  </w:style>
  <w:style w:styleId="Style_40_ch" w:type="character">
    <w:name w:val="Header and Footer"/>
    <w:link w:val="Style_40"/>
    <w:rPr>
      <w:rFonts w:ascii="XO Thames" w:hAnsi="XO Thames"/>
      <w:sz w:val="28"/>
    </w:rPr>
  </w:style>
  <w:style w:styleId="Style_41" w:type="paragraph">
    <w:name w:val="Обычный1"/>
    <w:link w:val="Style_41_ch"/>
    <w:rPr>
      <w:sz w:val="24"/>
    </w:rPr>
  </w:style>
  <w:style w:styleId="Style_41_ch" w:type="character">
    <w:name w:val="Обычный1"/>
    <w:link w:val="Style_41"/>
    <w:rPr>
      <w:sz w:val="24"/>
    </w:rPr>
  </w:style>
  <w:style w:styleId="Style_42" w:type="paragraph">
    <w:name w:val="Heading"/>
    <w:link w:val="Style_42_ch"/>
    <w:pPr>
      <w:widowControl w:val="0"/>
      <w:ind/>
    </w:pPr>
    <w:rPr>
      <w:rFonts w:ascii="Arial" w:hAnsi="Arial"/>
      <w:b w:val="1"/>
      <w:sz w:val="22"/>
    </w:rPr>
  </w:style>
  <w:style w:styleId="Style_42_ch" w:type="character">
    <w:name w:val="Heading"/>
    <w:link w:val="Style_42"/>
    <w:rPr>
      <w:rFonts w:ascii="Arial" w:hAnsi="Arial"/>
      <w:b w:val="1"/>
      <w:sz w:val="22"/>
    </w:rPr>
  </w:style>
  <w:style w:styleId="Style_43" w:type="paragraph">
    <w:name w:val="Balloon Text"/>
    <w:basedOn w:val="Style_4"/>
    <w:link w:val="Style_43_ch"/>
    <w:rPr>
      <w:rFonts w:ascii="Tahoma" w:hAnsi="Tahoma"/>
      <w:sz w:val="16"/>
    </w:rPr>
  </w:style>
  <w:style w:styleId="Style_43_ch" w:type="character">
    <w:name w:val="Balloon Text"/>
    <w:basedOn w:val="Style_4_ch"/>
    <w:link w:val="Style_43"/>
    <w:rPr>
      <w:rFonts w:ascii="Tahoma" w:hAnsi="Tahoma"/>
      <w:sz w:val="16"/>
    </w:rPr>
  </w:style>
  <w:style w:styleId="Style_44" w:type="paragraph">
    <w:name w:val="toc 9"/>
    <w:next w:val="Style_4"/>
    <w:link w:val="Style_44_ch"/>
    <w:uiPriority w:val="39"/>
    <w:pPr>
      <w:widowControl w:val="1"/>
      <w:ind w:left="1600"/>
    </w:pPr>
    <w:rPr>
      <w:rFonts w:ascii="XO Thames" w:hAnsi="XO Thames"/>
      <w:sz w:val="28"/>
    </w:rPr>
  </w:style>
  <w:style w:styleId="Style_44_ch" w:type="character">
    <w:name w:val="toc 9"/>
    <w:link w:val="Style_44"/>
    <w:rPr>
      <w:rFonts w:ascii="XO Thames" w:hAnsi="XO Thames"/>
      <w:sz w:val="28"/>
    </w:rPr>
  </w:style>
  <w:style w:styleId="Style_16" w:type="paragraph">
    <w:name w:val="Основной шрифт абзаца1"/>
    <w:link w:val="Style_16_ch"/>
  </w:style>
  <w:style w:styleId="Style_16_ch" w:type="character">
    <w:name w:val="Основной шрифт абзаца1"/>
    <w:link w:val="Style_16"/>
  </w:style>
  <w:style w:styleId="Style_45" w:type="paragraph">
    <w:name w:val="ConsPlusTitle"/>
    <w:link w:val="Style_45_ch"/>
    <w:pPr>
      <w:widowControl w:val="0"/>
      <w:ind/>
    </w:pPr>
    <w:rPr>
      <w:b w:val="1"/>
      <w:sz w:val="24"/>
    </w:rPr>
  </w:style>
  <w:style w:styleId="Style_45_ch" w:type="character">
    <w:name w:val="ConsPlusTitle"/>
    <w:link w:val="Style_45"/>
    <w:rPr>
      <w:b w:val="1"/>
      <w:sz w:val="24"/>
    </w:rPr>
  </w:style>
  <w:style w:styleId="Style_46" w:type="paragraph">
    <w:name w:val="toc 8"/>
    <w:next w:val="Style_4"/>
    <w:link w:val="Style_46_ch"/>
    <w:uiPriority w:val="39"/>
    <w:pPr>
      <w:widowControl w:val="1"/>
      <w:ind w:left="1400"/>
    </w:pPr>
    <w:rPr>
      <w:rFonts w:ascii="XO Thames" w:hAnsi="XO Thames"/>
      <w:sz w:val="28"/>
    </w:rPr>
  </w:style>
  <w:style w:styleId="Style_46_ch" w:type="character">
    <w:name w:val="toc 8"/>
    <w:link w:val="Style_46"/>
    <w:rPr>
      <w:rFonts w:ascii="XO Thames" w:hAnsi="XO Thames"/>
      <w:sz w:val="28"/>
    </w:rPr>
  </w:style>
  <w:style w:styleId="Style_47" w:type="paragraph">
    <w:name w:val="bx-messenger-ajax"/>
    <w:basedOn w:val="Style_16"/>
    <w:link w:val="Style_47_ch"/>
  </w:style>
  <w:style w:styleId="Style_47_ch" w:type="character">
    <w:name w:val="bx-messenger-ajax"/>
    <w:basedOn w:val="Style_16_ch"/>
    <w:link w:val="Style_47"/>
  </w:style>
  <w:style w:styleId="Style_5" w:type="paragraph">
    <w:name w:val="Style2"/>
    <w:basedOn w:val="Style_4"/>
    <w:link w:val="Style_5_ch"/>
    <w:pPr>
      <w:widowControl w:val="0"/>
      <w:spacing w:line="325" w:lineRule="exact"/>
      <w:ind/>
      <w:jc w:val="center"/>
    </w:pPr>
  </w:style>
  <w:style w:styleId="Style_5_ch" w:type="character">
    <w:name w:val="Style2"/>
    <w:basedOn w:val="Style_4_ch"/>
    <w:link w:val="Style_5"/>
  </w:style>
  <w:style w:styleId="Style_6" w:type="paragraph">
    <w:name w:val="Style1"/>
    <w:basedOn w:val="Style_4"/>
    <w:link w:val="Style_6_ch"/>
    <w:pPr>
      <w:widowControl w:val="0"/>
      <w:ind/>
    </w:pPr>
  </w:style>
  <w:style w:styleId="Style_6_ch" w:type="character">
    <w:name w:val="Style1"/>
    <w:basedOn w:val="Style_4_ch"/>
    <w:link w:val="Style_6"/>
  </w:style>
  <w:style w:styleId="Style_48" w:type="paragraph">
    <w:name w:val="toc 5"/>
    <w:next w:val="Style_4"/>
    <w:link w:val="Style_48_ch"/>
    <w:uiPriority w:val="39"/>
    <w:pPr>
      <w:widowControl w:val="1"/>
      <w:ind w:left="800"/>
    </w:pPr>
    <w:rPr>
      <w:rFonts w:ascii="XO Thames" w:hAnsi="XO Thames"/>
      <w:sz w:val="28"/>
    </w:rPr>
  </w:style>
  <w:style w:styleId="Style_48_ch" w:type="character">
    <w:name w:val="toc 5"/>
    <w:link w:val="Style_48"/>
    <w:rPr>
      <w:rFonts w:ascii="XO Thames" w:hAnsi="XO Thames"/>
      <w:sz w:val="28"/>
    </w:rPr>
  </w:style>
  <w:style w:styleId="Style_49" w:type="paragraph">
    <w:name w:val="заголовок 1"/>
    <w:basedOn w:val="Style_4"/>
    <w:next w:val="Style_4"/>
    <w:link w:val="Style_49_ch"/>
    <w:pPr>
      <w:keepNext w:val="1"/>
      <w:widowControl w:val="1"/>
      <w:ind/>
      <w:outlineLvl w:val="0"/>
    </w:pPr>
    <w:rPr>
      <w:b w:val="1"/>
    </w:rPr>
  </w:style>
  <w:style w:styleId="Style_49_ch" w:type="character">
    <w:name w:val="заголовок 1"/>
    <w:basedOn w:val="Style_4_ch"/>
    <w:link w:val="Style_49"/>
    <w:rPr>
      <w:b w:val="1"/>
    </w:rPr>
  </w:style>
  <w:style w:styleId="Style_50" w:type="paragraph">
    <w:name w:val="footer"/>
    <w:basedOn w:val="Style_4"/>
    <w:link w:val="Style_50_ch"/>
    <w:pPr>
      <w:widowControl w:val="1"/>
      <w:tabs>
        <w:tab w:leader="none" w:pos="4677" w:val="center"/>
        <w:tab w:leader="none" w:pos="9355" w:val="right"/>
      </w:tabs>
      <w:ind/>
    </w:pPr>
  </w:style>
  <w:style w:styleId="Style_50_ch" w:type="character">
    <w:name w:val="footer"/>
    <w:basedOn w:val="Style_4_ch"/>
    <w:link w:val="Style_50"/>
  </w:style>
  <w:style w:styleId="Style_51" w:type="paragraph">
    <w:name w:val="Subtitle"/>
    <w:next w:val="Style_4"/>
    <w:link w:val="Style_51_ch"/>
    <w:uiPriority w:val="11"/>
    <w:qFormat/>
    <w:pPr>
      <w:widowControl w:val="1"/>
      <w:ind/>
      <w:jc w:val="both"/>
    </w:pPr>
    <w:rPr>
      <w:rFonts w:ascii="XO Thames" w:hAnsi="XO Thames"/>
      <w:i w:val="1"/>
      <w:sz w:val="24"/>
    </w:rPr>
  </w:style>
  <w:style w:styleId="Style_51_ch" w:type="character">
    <w:name w:val="Subtitle"/>
    <w:link w:val="Style_51"/>
    <w:rPr>
      <w:rFonts w:ascii="XO Thames" w:hAnsi="XO Thames"/>
      <w:i w:val="1"/>
      <w:sz w:val="24"/>
    </w:rPr>
  </w:style>
  <w:style w:styleId="Style_52" w:type="paragraph">
    <w:name w:val="Title"/>
    <w:next w:val="Style_4"/>
    <w:link w:val="Style_52_ch"/>
    <w:uiPriority w:val="10"/>
    <w:qFormat/>
    <w:pPr>
      <w:widowControl w:val="1"/>
      <w:spacing w:after="567" w:before="567"/>
      <w:ind/>
      <w:jc w:val="center"/>
    </w:pPr>
    <w:rPr>
      <w:rFonts w:ascii="XO Thames" w:hAnsi="XO Thames"/>
      <w:b w:val="1"/>
      <w:caps w:val="1"/>
      <w:sz w:val="40"/>
    </w:rPr>
  </w:style>
  <w:style w:styleId="Style_52_ch" w:type="character">
    <w:name w:val="Title"/>
    <w:link w:val="Style_52"/>
    <w:rPr>
      <w:rFonts w:ascii="XO Thames" w:hAnsi="XO Thames"/>
      <w:b w:val="1"/>
      <w:caps w:val="1"/>
      <w:sz w:val="40"/>
    </w:rPr>
  </w:style>
  <w:style w:styleId="Style_53" w:type="paragraph">
    <w:name w:val="Знак сноски1"/>
    <w:link w:val="Style_53_ch"/>
    <w:rPr>
      <w:vertAlign w:val="superscript"/>
    </w:rPr>
  </w:style>
  <w:style w:styleId="Style_53_ch" w:type="character">
    <w:name w:val="Знак сноски1"/>
    <w:link w:val="Style_53"/>
    <w:rPr>
      <w:vertAlign w:val="superscript"/>
    </w:rPr>
  </w:style>
  <w:style w:styleId="Style_54" w:type="paragraph">
    <w:name w:val="heading 4"/>
    <w:next w:val="Style_4"/>
    <w:link w:val="Style_54_ch"/>
    <w:uiPriority w:val="9"/>
    <w:qFormat/>
    <w:pPr>
      <w:widowControl w:val="1"/>
      <w:spacing w:after="120" w:before="120"/>
      <w:ind/>
      <w:jc w:val="both"/>
      <w:outlineLvl w:val="3"/>
    </w:pPr>
    <w:rPr>
      <w:rFonts w:ascii="XO Thames" w:hAnsi="XO Thames"/>
      <w:b w:val="1"/>
      <w:sz w:val="24"/>
    </w:rPr>
  </w:style>
  <w:style w:styleId="Style_54_ch" w:type="character">
    <w:name w:val="heading 4"/>
    <w:link w:val="Style_54"/>
    <w:rPr>
      <w:rFonts w:ascii="XO Thames" w:hAnsi="XO Thames"/>
      <w:b w:val="1"/>
      <w:sz w:val="24"/>
    </w:rPr>
  </w:style>
  <w:style w:styleId="Style_55" w:type="paragraph">
    <w:name w:val="heading 2"/>
    <w:basedOn w:val="Style_4"/>
    <w:link w:val="Style_55_ch"/>
    <w:uiPriority w:val="9"/>
    <w:qFormat/>
    <w:pPr>
      <w:widowControl w:val="1"/>
      <w:ind/>
      <w:outlineLvl w:val="1"/>
    </w:pPr>
    <w:rPr>
      <w:rFonts w:ascii="Verdana" w:hAnsi="Verdana"/>
      <w:b w:val="1"/>
      <w:color w:val="780001"/>
      <w:sz w:val="18"/>
    </w:rPr>
  </w:style>
  <w:style w:styleId="Style_55_ch" w:type="character">
    <w:name w:val="heading 2"/>
    <w:basedOn w:val="Style_4_ch"/>
    <w:link w:val="Style_55"/>
    <w:rPr>
      <w:rFonts w:ascii="Verdana" w:hAnsi="Verdana"/>
      <w:b w:val="1"/>
      <w:color w:val="780001"/>
      <w:sz w:val="18"/>
    </w:rPr>
  </w:style>
  <w:style w:styleId="Style_56" w:type="paragraph">
    <w:name w:val="Гиперссылка1"/>
    <w:link w:val="Style_56_ch"/>
    <w:rPr>
      <w:color w:val="000080"/>
      <w:u w:val="single"/>
    </w:rPr>
  </w:style>
  <w:style w:styleId="Style_56_ch" w:type="character">
    <w:name w:val="Гиперссылка1"/>
    <w:link w:val="Style_56"/>
    <w:rPr>
      <w:color w:val="000080"/>
      <w:u w:val="single"/>
    </w:rPr>
  </w:style>
  <w:style w:styleId="Style_12" w:type="table">
    <w:name w:val="Сетка таблицы1"/>
    <w:basedOn w:val="Style_11"/>
    <w:rPr>
      <w:rFonts w:ascii="Calibri" w:hAnsi="Calibri"/>
    </w:r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1" w:type="table">
    <w:name w:val="Normal Table"/>
    <w:tblPr>
      <w:tblInd w:type="dxa" w:w="0"/>
      <w:tblCellMar>
        <w:top w:type="dxa" w:w="0"/>
        <w:left w:type="dxa" w:w="108"/>
        <w:bottom w:type="dxa" w:w="0"/>
        <w:right w:type="dxa" w:w="108"/>
      </w:tblCellMar>
    </w:tblPr>
  </w:style>
  <w:style w:styleId="Style_57" w:type="table">
    <w:name w:val="Table Grid"/>
    <w:basedOn w:val="Style_11"/>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5" Target="header15.xml" Type="http://schemas.openxmlformats.org/officeDocument/2006/relationships/header"/>
  <Relationship Id="rId30" Target="endnotes.xml" Type="http://schemas.openxmlformats.org/officeDocument/2006/relationships/endnotes"/>
  <Relationship Id="rId27" Target="webSettings.xml" Type="http://schemas.openxmlformats.org/officeDocument/2006/relationships/webSettings"/>
  <Relationship Id="rId3" Target="header3.xml" Type="http://schemas.openxmlformats.org/officeDocument/2006/relationships/header"/>
  <Relationship Id="rId29" Target="footnotes.xml" Type="http://schemas.openxmlformats.org/officeDocument/2006/relationships/footnotes"/>
  <Relationship Id="rId5" Target="header5.xml" Type="http://schemas.openxmlformats.org/officeDocument/2006/relationships/header"/>
  <Relationship Id="rId12" Target="header12.xml" Type="http://schemas.openxmlformats.org/officeDocument/2006/relationships/header"/>
  <Relationship Id="rId31" Target="numbering.xml" Type="http://schemas.openxmlformats.org/officeDocument/2006/relationships/numbering"/>
  <Relationship Id="rId13" Target="header13.xml" Type="http://schemas.openxmlformats.org/officeDocument/2006/relationships/header"/>
  <Relationship Id="rId6" Target="header6.xml" Type="http://schemas.openxmlformats.org/officeDocument/2006/relationships/header"/>
  <Relationship Id="rId4" Target="header4.xml" Type="http://schemas.openxmlformats.org/officeDocument/2006/relationships/header"/>
  <Relationship Id="rId23" Target="fontTable.xml" Type="http://schemas.openxmlformats.org/officeDocument/2006/relationships/fontTable"/>
  <Relationship Id="rId21" Target="media/1.wmf" Type="http://schemas.openxmlformats.org/officeDocument/2006/relationships/image"/>
  <Relationship Id="rId22" Target="media/2.png" Type="http://schemas.openxmlformats.org/officeDocument/2006/relationships/image"/>
  <Relationship Id="rId28" Target="theme/theme1.xml" Type="http://schemas.openxmlformats.org/officeDocument/2006/relationships/theme"/>
  <Relationship Id="rId8" Target="header8.xml" Type="http://schemas.openxmlformats.org/officeDocument/2006/relationships/header"/>
  <Relationship Id="rId9" Target="header9.xml" Type="http://schemas.openxmlformats.org/officeDocument/2006/relationships/header"/>
  <Relationship Id="rId20" Target="header20.xml" Type="http://schemas.openxmlformats.org/officeDocument/2006/relationships/header"/>
  <Relationship Id="rId19" Target="header19.xml" Type="http://schemas.openxmlformats.org/officeDocument/2006/relationships/header"/>
  <Relationship Id="rId11" Target="header11.xml" Type="http://schemas.openxmlformats.org/officeDocument/2006/relationships/header"/>
  <Relationship Id="rId14" Target="header14.xml" Type="http://schemas.openxmlformats.org/officeDocument/2006/relationships/header"/>
  <Relationship Id="rId16" Target="header16.xml" Type="http://schemas.openxmlformats.org/officeDocument/2006/relationships/header"/>
  <Relationship Id="rId10" Target="header10.xml" Type="http://schemas.openxmlformats.org/officeDocument/2006/relationships/header"/>
  <Relationship Id="rId7" Target="header7.xml" Type="http://schemas.openxmlformats.org/officeDocument/2006/relationships/header"/>
  <Relationship Id="rId25" Target="styles.xml" Type="http://schemas.openxmlformats.org/officeDocument/2006/relationships/styles"/>
  <Relationship Id="rId17" Target="header17.xml" Type="http://schemas.openxmlformats.org/officeDocument/2006/relationships/header"/>
  <Relationship Id="rId2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18" Target="header18.xml" Type="http://schemas.openxmlformats.org/officeDocument/2006/relationships/header"/>
  <Relationship Id="rId24"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MyOffice-CoreFramework-Windows/36-1319.1058.9942.953.1@04494a3b551f3193b92c1c6a32fdda6152bfb270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2025-07-21T11:22:44Z</dcterms:created>
  <dcterms:modified xsi:type="dcterms:W3CDTF">2025-07-21T11:22:44Z</dcterms:modified>
</cp:coreProperties>
</file>