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A97" w:rsidRDefault="00744A97" w:rsidP="00744A97">
      <w:pPr>
        <w:pStyle w:val="a3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9BFFDE3" wp14:editId="457BBC4A">
            <wp:extent cx="609600" cy="619760"/>
            <wp:effectExtent l="0" t="0" r="0" b="8890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97" w:rsidRDefault="00744A97" w:rsidP="00744A97">
      <w:pPr>
        <w:pStyle w:val="a3"/>
        <w:spacing w:before="80"/>
        <w:jc w:val="center"/>
        <w:rPr>
          <w:sz w:val="26"/>
        </w:rPr>
      </w:pPr>
      <w:r>
        <w:rPr>
          <w:sz w:val="26"/>
        </w:rPr>
        <w:t>ПРАВИТЕЛЬСТВО САНКТ-ПЕТЕРБУРГА</w:t>
      </w:r>
    </w:p>
    <w:p w:rsidR="00744A97" w:rsidRDefault="00744A97" w:rsidP="00744A97">
      <w:pPr>
        <w:pStyle w:val="a3"/>
        <w:spacing w:before="60"/>
        <w:jc w:val="center"/>
      </w:pPr>
      <w:r>
        <w:rPr>
          <w:b/>
          <w:caps/>
          <w:spacing w:val="6"/>
          <w:sz w:val="26"/>
        </w:rPr>
        <w:t xml:space="preserve">Комитет по государственному контролю, использованию </w:t>
      </w:r>
      <w:r>
        <w:rPr>
          <w:b/>
          <w:caps/>
          <w:spacing w:val="6"/>
          <w:sz w:val="26"/>
        </w:rPr>
        <w:br/>
        <w:t>и охране памятников истории и культуры</w:t>
      </w:r>
    </w:p>
    <w:p w:rsidR="00744A97" w:rsidRDefault="00744A97" w:rsidP="00744A97">
      <w:pPr>
        <w:pStyle w:val="a3"/>
        <w:spacing w:before="60"/>
        <w:jc w:val="center"/>
        <w:rPr>
          <w:b/>
          <w:caps/>
          <w:sz w:val="32"/>
        </w:rPr>
      </w:pPr>
      <w:r>
        <w:rPr>
          <w:b/>
          <w:caps/>
          <w:noProof/>
          <w:spacing w:val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F34005" wp14:editId="2CEBD131">
                <wp:simplePos x="0" y="0"/>
                <wp:positionH relativeFrom="column">
                  <wp:posOffset>5043170</wp:posOffset>
                </wp:positionH>
                <wp:positionV relativeFrom="margin">
                  <wp:posOffset>1386205</wp:posOffset>
                </wp:positionV>
                <wp:extent cx="731520" cy="274320"/>
                <wp:effectExtent l="1905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4A97" w:rsidRDefault="00744A97" w:rsidP="00744A97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34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1pt;margin-top:109.15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orswIAALg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" o:allowincell="f" filled="f" stroked="f">
                <v:textbox>
                  <w:txbxContent>
                    <w:p w:rsidR="00744A97" w:rsidRDefault="00744A97" w:rsidP="00744A97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окуд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b/>
          <w:caps/>
          <w:spacing w:val="80"/>
          <w:sz w:val="32"/>
        </w:rPr>
        <w:t>распоряжение</w:t>
      </w:r>
    </w:p>
    <w:p w:rsidR="00744A97" w:rsidRDefault="00744A97" w:rsidP="00744A97">
      <w:pPr>
        <w:pStyle w:val="a3"/>
        <w:jc w:val="center"/>
        <w:rPr>
          <w:sz w:val="32"/>
        </w:rPr>
      </w:pPr>
    </w:p>
    <w:p w:rsidR="00744A97" w:rsidRPr="00DC70D3" w:rsidRDefault="00744A97" w:rsidP="00744A97">
      <w:pPr>
        <w:pStyle w:val="a3"/>
        <w:tabs>
          <w:tab w:val="left" w:pos="8080"/>
        </w:tabs>
        <w:spacing w:after="720"/>
        <w:rPr>
          <w:b/>
          <w:caps/>
        </w:rPr>
      </w:pPr>
      <w:r>
        <w:rPr>
          <w:b/>
          <w:caps/>
        </w:rPr>
        <w:t>_______________</w:t>
      </w:r>
      <w:r>
        <w:rPr>
          <w:b/>
          <w:caps/>
        </w:rPr>
        <w:tab/>
        <w:t>№_____________</w:t>
      </w:r>
    </w:p>
    <w:p w:rsidR="00744A97" w:rsidRDefault="00744A97" w:rsidP="00744A97">
      <w:pPr>
        <w:spacing w:line="276" w:lineRule="auto"/>
        <w:rPr>
          <w:b/>
        </w:rPr>
      </w:pPr>
      <w:r>
        <w:rPr>
          <w:b/>
        </w:rPr>
        <w:t>Об утверждении предмета охраны</w:t>
      </w:r>
    </w:p>
    <w:p w:rsidR="00744A97" w:rsidRPr="00795C43" w:rsidRDefault="00744A97" w:rsidP="00744A97">
      <w:pPr>
        <w:spacing w:line="276" w:lineRule="auto"/>
        <w:rPr>
          <w:b/>
        </w:rPr>
      </w:pPr>
      <w:r>
        <w:rPr>
          <w:b/>
        </w:rPr>
        <w:t>объекта культурного наследия регионального</w:t>
      </w:r>
      <w:r w:rsidRPr="00795C43">
        <w:rPr>
          <w:b/>
        </w:rPr>
        <w:t xml:space="preserve"> значения</w:t>
      </w:r>
    </w:p>
    <w:p w:rsidR="00744A97" w:rsidRDefault="00744A97" w:rsidP="00744A97">
      <w:pPr>
        <w:spacing w:line="276" w:lineRule="auto"/>
        <w:rPr>
          <w:b/>
        </w:rPr>
      </w:pPr>
      <w:r>
        <w:rPr>
          <w:b/>
        </w:rPr>
        <w:t>«</w:t>
      </w:r>
      <w:r w:rsidRPr="00DA4560">
        <w:rPr>
          <w:b/>
          <w:color w:val="000000"/>
        </w:rPr>
        <w:t>Дворец пушнины</w:t>
      </w:r>
      <w:r w:rsidRPr="00A57009">
        <w:rPr>
          <w:b/>
          <w:color w:val="000000"/>
        </w:rPr>
        <w:t>»</w:t>
      </w:r>
    </w:p>
    <w:p w:rsidR="00744A97" w:rsidRDefault="00744A97" w:rsidP="00744A97">
      <w:pPr>
        <w:spacing w:line="360" w:lineRule="auto"/>
      </w:pPr>
    </w:p>
    <w:p w:rsidR="00744A97" w:rsidRPr="009A065C" w:rsidRDefault="00744A97" w:rsidP="00744A97">
      <w:pPr>
        <w:spacing w:line="360" w:lineRule="auto"/>
        <w:ind w:firstLine="708"/>
        <w:jc w:val="both"/>
        <w:rPr>
          <w:rFonts w:eastAsia="Times New Roman"/>
          <w:b/>
        </w:rPr>
      </w:pPr>
      <w:r>
        <w:t xml:space="preserve">В соответствии с подпунктом 10 пункта 2 статьи 33 Федерального закона от 25.06.2002                    № 73-ФЗ «Об объектах культурного наследия (памятниках истории и культуры) народов Российской Федерации» и пунктом 3.12 Положения о Комитете по государственному контролю, использованию и охране памятников истории и культуры, утвержденного постановлением Правительства Санкт-Петербурга от 28.04.2004 № 651, </w:t>
      </w:r>
      <w:r w:rsidRPr="00BF4C0F">
        <w:rPr>
          <w:rFonts w:eastAsia="Times New Roman"/>
          <w:szCs w:val="20"/>
        </w:rPr>
        <w:t>в связи с позицией судов общей юрисдикции относительно нормативного характера правовых актов, утверждающих предмет охраны объекта культурного наследия:</w:t>
      </w:r>
    </w:p>
    <w:p w:rsidR="00744A97" w:rsidRDefault="00744A97" w:rsidP="00744A97">
      <w:pPr>
        <w:spacing w:line="360" w:lineRule="auto"/>
        <w:jc w:val="both"/>
      </w:pPr>
      <w:r>
        <w:tab/>
        <w:t xml:space="preserve">1. Утвердить предмет охраны объекта культурного наследия регионального значения </w:t>
      </w:r>
      <w:r w:rsidRPr="00C506A4">
        <w:t>«</w:t>
      </w:r>
      <w:r w:rsidRPr="00DA4560">
        <w:t>Дворец пушнины</w:t>
      </w:r>
      <w:r w:rsidRPr="00C506A4">
        <w:t>»</w:t>
      </w:r>
      <w:r w:rsidRPr="0030602E">
        <w:rPr>
          <w:bCs/>
        </w:rPr>
        <w:t>,</w:t>
      </w:r>
      <w:r>
        <w:rPr>
          <w:bCs/>
        </w:rPr>
        <w:t xml:space="preserve"> </w:t>
      </w:r>
      <w:r w:rsidRPr="00DA4560">
        <w:rPr>
          <w:bCs/>
        </w:rPr>
        <w:t>1938–1939 гг.</w:t>
      </w:r>
      <w:r>
        <w:rPr>
          <w:bCs/>
        </w:rPr>
        <w:t xml:space="preserve">, </w:t>
      </w:r>
      <w:r w:rsidRPr="005A4906">
        <w:rPr>
          <w:bCs/>
        </w:rPr>
        <w:t>расположенного по ад</w:t>
      </w:r>
      <w:r>
        <w:rPr>
          <w:bCs/>
        </w:rPr>
        <w:t xml:space="preserve">ресу: Санкт-Петербург, </w:t>
      </w:r>
      <w:r w:rsidRPr="00DA4560">
        <w:rPr>
          <w:bCs/>
        </w:rPr>
        <w:t>Московский</w:t>
      </w:r>
      <w:r>
        <w:rPr>
          <w:bCs/>
        </w:rPr>
        <w:t xml:space="preserve"> </w:t>
      </w:r>
      <w:r w:rsidRPr="00DA4560">
        <w:rPr>
          <w:bCs/>
        </w:rPr>
        <w:t>проспект, дом 98, литера В</w:t>
      </w:r>
      <w:r>
        <w:t>, согласно приложению к распоряжению.</w:t>
      </w:r>
    </w:p>
    <w:p w:rsidR="00744A97" w:rsidRDefault="00744A97" w:rsidP="00744A97">
      <w:pPr>
        <w:spacing w:line="360" w:lineRule="auto"/>
        <w:jc w:val="both"/>
      </w:pPr>
      <w:r>
        <w:tab/>
        <w:t>2. Распоряжение КГИОП от 20.01.2014 № 10-20 «</w:t>
      </w:r>
      <w:r w:rsidRPr="00DA4560">
        <w:t>Об определении предмета охраны объекта культурного наследия региона</w:t>
      </w:r>
      <w:r>
        <w:t>льного значения «Дворец пушнины» признать утратившим силу.</w:t>
      </w:r>
    </w:p>
    <w:p w:rsidR="00744A97" w:rsidRDefault="00744A97" w:rsidP="00744A97">
      <w:pPr>
        <w:spacing w:line="360" w:lineRule="auto"/>
        <w:jc w:val="both"/>
        <w:rPr>
          <w:iCs/>
        </w:rPr>
      </w:pPr>
      <w:r>
        <w:tab/>
        <w:t>3</w:t>
      </w:r>
      <w:r>
        <w:rPr>
          <w:iCs/>
        </w:rPr>
        <w:t>. Начальнику отдела государственного реестра объектов культурного наследия обеспечить размещение настоящего распоряжения в электронной форме в</w:t>
      </w:r>
      <w:r>
        <w:rPr>
          <w:iCs/>
          <w:color w:val="3366FF"/>
        </w:rPr>
        <w:t xml:space="preserve"> </w:t>
      </w:r>
      <w:r>
        <w:rPr>
          <w:iCs/>
        </w:rPr>
        <w:t>локальной компьютерной сети КГИОП и его официальное опубликование.</w:t>
      </w:r>
    </w:p>
    <w:p w:rsidR="00744A97" w:rsidRDefault="00744A97" w:rsidP="00744A97">
      <w:pPr>
        <w:pStyle w:val="2"/>
        <w:tabs>
          <w:tab w:val="left" w:pos="709"/>
        </w:tabs>
        <w:ind w:firstLine="708"/>
      </w:pPr>
      <w:r>
        <w:t>4. Контроль за исполнением распоряжения возложить на начальника Управления государственного реестра объектов культурного наследия.</w:t>
      </w:r>
    </w:p>
    <w:p w:rsidR="00744A97" w:rsidRDefault="00744A97" w:rsidP="00744A97">
      <w:pPr>
        <w:spacing w:line="360" w:lineRule="auto"/>
        <w:jc w:val="both"/>
      </w:pPr>
    </w:p>
    <w:p w:rsidR="00744A97" w:rsidRDefault="00744A97" w:rsidP="00744A97">
      <w:pPr>
        <w:spacing w:line="360" w:lineRule="auto"/>
        <w:jc w:val="both"/>
      </w:pPr>
    </w:p>
    <w:p w:rsidR="00744A97" w:rsidRPr="00464AE3" w:rsidRDefault="00744A97" w:rsidP="00744A97">
      <w:pPr>
        <w:jc w:val="both"/>
        <w:rPr>
          <w:b/>
        </w:rPr>
      </w:pPr>
      <w:r w:rsidRPr="0031186C">
        <w:rPr>
          <w:b/>
        </w:rPr>
        <w:t>Заместитель председателя КГИОП</w:t>
      </w:r>
      <w:r w:rsidRPr="0031186C">
        <w:rPr>
          <w:b/>
        </w:rPr>
        <w:tab/>
      </w:r>
      <w:r w:rsidRPr="0031186C">
        <w:rPr>
          <w:b/>
        </w:rPr>
        <w:tab/>
      </w:r>
      <w:r w:rsidRPr="0031186C">
        <w:rPr>
          <w:b/>
        </w:rPr>
        <w:tab/>
      </w:r>
      <w:r w:rsidRPr="0031186C">
        <w:rPr>
          <w:b/>
        </w:rPr>
        <w:tab/>
      </w:r>
      <w:r w:rsidRPr="0031186C">
        <w:rPr>
          <w:b/>
        </w:rPr>
        <w:tab/>
      </w:r>
      <w:r w:rsidRPr="0031186C">
        <w:rPr>
          <w:b/>
        </w:rPr>
        <w:tab/>
      </w:r>
      <w:r w:rsidRPr="0031186C">
        <w:rPr>
          <w:b/>
        </w:rPr>
        <w:tab/>
      </w:r>
      <w:r>
        <w:rPr>
          <w:b/>
        </w:rPr>
        <w:t xml:space="preserve">     Г.Р. Аганова</w:t>
      </w:r>
    </w:p>
    <w:p w:rsidR="00744A97" w:rsidRDefault="00744A97" w:rsidP="00744A97">
      <w:pPr>
        <w:jc w:val="both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  <w:ind w:firstLine="0"/>
      </w:pPr>
    </w:p>
    <w:p w:rsidR="00744A97" w:rsidRDefault="00744A97" w:rsidP="00744A97">
      <w:pPr>
        <w:pStyle w:val="2"/>
        <w:tabs>
          <w:tab w:val="left" w:pos="180"/>
          <w:tab w:val="left" w:pos="360"/>
        </w:tabs>
        <w:spacing w:line="240" w:lineRule="auto"/>
        <w:ind w:firstLine="0"/>
      </w:pPr>
    </w:p>
    <w:p w:rsidR="00744A97" w:rsidRPr="00744A97" w:rsidRDefault="00744A97" w:rsidP="00744A97">
      <w:pPr>
        <w:keepNext/>
        <w:jc w:val="right"/>
        <w:outlineLvl w:val="0"/>
        <w:rPr>
          <w:rFonts w:eastAsia="Times New Roman"/>
          <w:bCs/>
        </w:rPr>
      </w:pPr>
      <w:r w:rsidRPr="00744A97">
        <w:rPr>
          <w:rFonts w:eastAsia="Times New Roman"/>
          <w:bCs/>
        </w:rPr>
        <w:t>Приложение к распоряжению КГИОП</w:t>
      </w:r>
    </w:p>
    <w:p w:rsidR="00744A97" w:rsidRPr="00744A97" w:rsidRDefault="00744A97" w:rsidP="00744A97">
      <w:pPr>
        <w:jc w:val="center"/>
        <w:rPr>
          <w:rFonts w:eastAsia="Times New Roman"/>
        </w:rPr>
      </w:pPr>
      <w:r w:rsidRPr="00744A97">
        <w:rPr>
          <w:rFonts w:eastAsia="Times New Roman"/>
        </w:rPr>
        <w:t xml:space="preserve">                                                                                             от___________№_____________</w:t>
      </w:r>
    </w:p>
    <w:p w:rsidR="00744A97" w:rsidRPr="00744A97" w:rsidRDefault="00744A97" w:rsidP="00744A97">
      <w:pPr>
        <w:spacing w:line="360" w:lineRule="auto"/>
        <w:jc w:val="center"/>
        <w:rPr>
          <w:rFonts w:eastAsia="Times New Roman"/>
        </w:rPr>
      </w:pPr>
    </w:p>
    <w:p w:rsidR="00744A97" w:rsidRPr="00744A97" w:rsidRDefault="00744A97" w:rsidP="00744A97">
      <w:pPr>
        <w:jc w:val="center"/>
        <w:rPr>
          <w:rFonts w:eastAsia="Times New Roman"/>
        </w:rPr>
      </w:pPr>
      <w:r w:rsidRPr="00744A97">
        <w:rPr>
          <w:rFonts w:eastAsia="Times New Roman"/>
        </w:rPr>
        <w:t>Предмет охраны объекта культурного наследия регионального значения</w:t>
      </w:r>
    </w:p>
    <w:p w:rsidR="00744A97" w:rsidRPr="00744A97" w:rsidRDefault="00744A97" w:rsidP="00744A97">
      <w:pPr>
        <w:jc w:val="center"/>
        <w:rPr>
          <w:rFonts w:eastAsia="Times New Roman"/>
          <w:snapToGrid w:val="0"/>
        </w:rPr>
      </w:pPr>
      <w:r w:rsidRPr="00744A97">
        <w:rPr>
          <w:rFonts w:eastAsia="Times New Roman"/>
          <w:snapToGrid w:val="0"/>
        </w:rPr>
        <w:t>«Дворец пушнины»</w:t>
      </w:r>
    </w:p>
    <w:p w:rsidR="00744A97" w:rsidRPr="00744A97" w:rsidRDefault="00744A97" w:rsidP="00744A97">
      <w:pPr>
        <w:jc w:val="center"/>
        <w:rPr>
          <w:rFonts w:eastAsia="Times New Roman"/>
        </w:rPr>
      </w:pPr>
      <w:r w:rsidRPr="00744A97">
        <w:rPr>
          <w:rFonts w:eastAsia="Times New Roman"/>
        </w:rPr>
        <w:t>Санкт-Петербург, Московский район, Московский пр., дом 98, литера В</w:t>
      </w:r>
    </w:p>
    <w:p w:rsidR="00744A97" w:rsidRPr="00744A97" w:rsidRDefault="00744A97" w:rsidP="00744A97">
      <w:pPr>
        <w:spacing w:line="240" w:lineRule="exact"/>
        <w:jc w:val="center"/>
        <w:rPr>
          <w:rFonts w:eastAsia="Times New Roman"/>
        </w:rPr>
      </w:pPr>
    </w:p>
    <w:p w:rsidR="00744A97" w:rsidRPr="00744A97" w:rsidRDefault="00744A97" w:rsidP="00744A97">
      <w:pPr>
        <w:spacing w:line="240" w:lineRule="exact"/>
        <w:jc w:val="center"/>
        <w:rPr>
          <w:rFonts w:eastAsia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012"/>
        <w:gridCol w:w="3827"/>
        <w:gridCol w:w="3685"/>
      </w:tblGrid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№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пп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Видовая принадлежность предмета охраны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Предмет охраны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Фотофиксация</w:t>
            </w:r>
          </w:p>
        </w:tc>
      </w:tr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44A97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Объемно-пространственное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решение: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четырехэтажное здание на подвале, сложное в плане, симметричное, с ризалитом лицевого (западного) фасада, выступающим объемом аукционного зала (в виде амфитеатра) полуциркульным в плане (на восточном фасаде);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конфигурация здания в плане и габариты по венчающий карниз  аттика лицевого и торцевых фасадов.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524000" cy="1857375"/>
                  <wp:effectExtent l="0" t="0" r="0" b="9525"/>
                  <wp:docPr id="62" name="Рисунок 62" descr="Описание: 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Конструктивная система здания: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фундаменты;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наружные и внутренние кирпичные капитальные стены;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исторические междуэтажные перекрытия (перекрестная система железобетонных балок с бетонным заполнением);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и пилоны;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распашная парадная лестница, в том числе ее местоположение, габариты, конфигурация, конструкции, рисунок перильного ограждения в виде балясин, материалы (покрытие ступеней наливное с мраморной крошкой, гипс балясин), отметки межэтажных площадок.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noProof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200275" cy="16383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noProof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809750" cy="134302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17" b="4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219200" cy="184785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1562100" cy="2066925"/>
                  <wp:effectExtent l="0" t="0" r="0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Объемно-планировочное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решение: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историческое объемно-планировочное решение в габаритах капитальных стен.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Архитектурно-художественное решение фасадов: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архитектурно-художественное решение фасадов в формах советской архитектуры 2-й пол. 1930-х – 1950</w:t>
            </w:r>
            <w:r w:rsidRPr="00744A97">
              <w:rPr>
                <w:rFonts w:eastAsia="Times New Roman"/>
                <w:sz w:val="20"/>
                <w:szCs w:val="20"/>
              </w:rPr>
              <w:noBreakHyphen/>
              <w:t>х гг.;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западный фасад: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материал и характер фасадной  поверхности – терразитовая штукатурка, руст; 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материал отделки цоколя – гранит; габариты, конфигурация цоколя – ступенчатая;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ризалит с портиком, фланкированным четырьмя колоннами коринфского ордера, с нишей входа на высоту 3-х этажей, завершенной полуциркульной аркой (свод арки кессонированный с розетками) с архивольтом с замковым камнем в виде декоративного кронштейна, филенками, оконным и дверным проемами в поле ниши; на аттике рельефная надпись* в прямоугольной профилированной раме: «СССР.Н.К.В.Т. Союзпушнина. 1938»; (*часть букв утрачена).</w:t>
            </w: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-36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гранитное крыльцо парадного входа;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оформление дверного проема    центрального входа – портал с прямым профилированным сандриком с сухариками, профилированным наличником; заполнение дверного проема  двустворчатое с фрамугой, полусветлое;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трехчетвертные колонны коринфского ордера, стилизованные пилястры с орнаментированными капителями;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межэтажные профилированные тяги и карнизы;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оконные, дверные проемы, проемы балконных дверей с прямыми и полуциркульными завершениями; оформление проемов – профилированные архивольты на импостах, профилированные наличники, филенки и тяги в подоконных простенках; оконные заполнения – рисунок исторической расстекловки;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балконы на кронштейнах в виде триглифов, с балюстрадным ограждением, карнизом с сухариками;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венчающий выносной профилированный карниз  с модульонами, кессоны с розетками между модульонами, львиные маскароны на карнизе;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верхняя часть фасадной стены в виде ленточного аттика, завершенная профилированным карнизом;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северный и южный фасад: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материал и характер фасадной  поверхности – гладкая штукатурка, руст; 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материал отделки цоколя – гранит; 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оконные проемы с прямыми и полуциркульными завершениями; оформление проемов – профилированные архивольты на импостах, профилированные наличники, филенки и тяги в подоконных простенках; оконные заполнения – рисунок исторической расстекловки;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оконные проемы первого этажа – габариты по ширине и высоте;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пилястры коринфского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межэтажные профилированные тяги и карнизы, в том числе карниз над полуциркульными окнами;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верхняя часть фасадной стены в виде ленточного аттика, завершенная профилированным карнизом;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восточный фасад: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ризалиты (центральный со скругленной восточной частью, боковые – прямоугольные);</w:t>
            </w: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материал и характер фасадной  поверхности – гладкая штукатурка, руст в межоконных простенках 1-2-го этажей;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оконные проемы с прямыми и полуциркульными завершениями; оформление оконных проемов -  архивольты с импостами, профилированные наличники; оконные заполнения – рисунок исторической расстекловки;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744A97">
              <w:rPr>
                <w:rFonts w:eastAsia="Times New Roman"/>
                <w:b/>
                <w:sz w:val="18"/>
                <w:szCs w:val="18"/>
              </w:rPr>
              <w:t>Примечание: современные оконные заполнения пластиковые.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межэтажные профилированные тяги;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профилированный венчающий карниз.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114550" cy="1266825"/>
                  <wp:effectExtent l="0" t="0" r="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200275" cy="1314450"/>
                  <wp:effectExtent l="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666875" cy="226695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47875" cy="117157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1457325" cy="208597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171700" cy="19621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133600" cy="16383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200275" cy="29241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200275" cy="330517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200275" cy="16383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876425" cy="153352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876425" cy="115252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A97" w:rsidRPr="00744A97" w:rsidTr="00831D31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Декоративно-художественная   отделка интерьеров, предметы декоративно-прикладного искусства: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5-Н (24) –  тамбур: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пол с облицовкой из плит серого и белого мрамора;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трехчастный дверной проем с деревянным полусветлым филенчатым  заполнением (центральная часть двустворчатая), с остекленными фрамугами, стекла с фацетом; металлические стяжки;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5-Н (18) - вестибюль 1-го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объемно-пространственное решение помещения;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колонны и пилястры стилизованного ордера с капителями, декорированными поясами иоников, облицованные искусственным мрамором, поддерживающие потолочные балки;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пол с облицовкой из плит серого и белого мраморам геометрического рисунка;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 балки с профилем по краю;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дверные проемы с деревянным филенчатым  заполнением и фурнитурой (ручка скоба);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экседры, перекрытые конхами;  постаменты в экседрах;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lastRenderedPageBreak/>
              <w:t>помещение 5-Н (8, 14) –  операционные залы 1-го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объемно-пространственное решение помещений;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 глубокие кессоны;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ниши в межоконных простенках, профилированные порталы, обрамляющие ниши;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пилястры фланкирующие входы;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профилированный карниз;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парадной лестницы: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облицовка ступеней и лестничных площадок мрамором (1-2-го этажей), терраццо (2-4-го этажей) с мраморными вставками на лестничных площадках;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балюстрада парадной лестницы (габариты, конфигурация, материал), деревянные профилированные перила;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поле подшивки лестничных маршей кессонированное; профилированный карниз;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дверного проема в аукционный зал (помещение 6-Н (10) с лестничной площадки между 1-2-м этажом – портал с профилированным сандриком с сухариками,  наличник с филенками с облицовкой искусственным мрамором; заполнение дверного проема деревянное, одностворчатое, филенчатое;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историческое местоположение и объемно-пространственное решение шахт лифта; ограждение лифтовых шахт в виде металлических каркасов геометрического рисунка;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6-Н (14) – вестибюль 2-го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объемно-пространственное решение помещения;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коринфского ордера, облицованные искусственным мрамором, поддерживающие потолочные балки; пилястры коринфского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балки с профилем по краю;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дверные проемы с деревянным филенчатым  заполнением и исторической фурнитурой (две ручки скобы);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пожарный гидрант у входа в аукционный зал;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6-Н (1, 6)  - выставочные залы 2-го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объемно-пространственное решение помещений;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глубокие кессоны;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и пилястры коринфского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ниши в межоконных простенках в профилированных наличниках с деревянными радиаторными решетками сложного рисунка (ромбовидная сетка);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профилированный карниз;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пожарные гидранты;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6-Н (10)  - аукционный зал: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объемно-пространственное решение двухсветного зала с амфитеатром, балконом с балюстрадным ограждением по полуокружности амфитеатра, ступенчатой трибуной президиума, стилизованным портиком с арочной нишей, балконами по сторонам от портика;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 круглая розетка с профилем по краю и сетчатым заполнением, карниз по периметру стен с модульонами, профилированные рамы;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ионического ордера, поддерживающие балкон по полуокружности амфитеатра;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портик с колоннами ионического ордера, парными им пилястрами  и кессонированной аркой, поле арки с тягами, филенками, дверным проемом в профилированном наличнике с деревянным филенчатым заполнением, исторической фурнитурой (ручка скоба), профилированные карнизы, в т.ч. с розетками;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балконы на ступенчатых орнаментированных кронштейнах по сторонам портика, с глухим филенчатым ограждением;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проемы балконных дверей с полуциркульным завершением, в профилированном архивольте с импостами;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ступенчатые амфитеатр и трибуна президиума с деревянными лестницами;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bookmarkStart w:id="0" w:name="_GoBack"/>
            <w:bookmarkEnd w:id="0"/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деревянные решетки радиатора с рисунком в виде ромбовидной сетки;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облицовка стен и колонн искусственным мрамором цвета светлой охры песочного оттенка; пожарные гидранты;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7-Н (18) – вестибюль 3</w:t>
            </w:r>
            <w:r w:rsidRPr="00744A97">
              <w:rPr>
                <w:rFonts w:eastAsia="Times New Roman"/>
                <w:b/>
                <w:sz w:val="20"/>
                <w:szCs w:val="20"/>
              </w:rPr>
              <w:noBreakHyphen/>
              <w:t>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историческое объемно-пространственное решение помещения;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ионического ордера, поддерживающие потолочные балки; пилястры ионического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балки с профилем по краю;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дверные проемы с деревянным филенчатым двухстворчатым заполнением и исторической фурнитурой (ручка скоба);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 xml:space="preserve">помещения 6-Н (1,12) – залы 3-го этажа: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историческое объемно-пространственное решение помещений;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оформление потолка – глубокие кессоны;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пилоны и пилястры стилизованного ионического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помещение 7-Н (18) вестибюль 4-го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историческое объемно-пространственное решение помещения; 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колонны, поддерживающие потолочные балки с профилем по краю, и пилястры ионического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помещения 7-Н (4-11, 17-24, 28-35, 39) залы 4-го этажа: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колонны и пилястры стилизованного ионического ордера;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44A97">
              <w:rPr>
                <w:rFonts w:eastAsia="Times New Roman"/>
                <w:b/>
                <w:sz w:val="20"/>
                <w:szCs w:val="20"/>
              </w:rPr>
              <w:t>предметы декоративно-прикладного искусства: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spacing w:line="234" w:lineRule="exact"/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Потолочный светильник  (помещения 5-Н (18), 6-Н (14), 7-Н (17) материал –  латунь, стекло; круглое потолочное крепление, шарообразный плафон молочногостекла.</w:t>
            </w: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    Время: к. 1930-х гг.</w:t>
            </w: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     Количество: 160</w:t>
            </w: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spacing w:line="234" w:lineRule="exact"/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Потолочный светильник (помещения 5-Н (14), 6-Н (7, 8): материал –  латунь, стекло; потолочное крепление в виде диска, гладкий шток, шарообразный плафон молочного стекла. 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27</w:t>
            </w: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Банкетка (помещение 5-Н (19): материал – дуб (?); прямоугольная, на 8-ми ножках (боковые овальные, в центре в виде шайб); обвязка гладкая, сидение обтянуто дермантином.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2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 xml:space="preserve">Диван (помещение 5-Н (19): материал – дуб (?); прямоугольный на четырех овальных ножках; обвязка спинки гладкая с профилем по краю; локотники скошенные, в верхней части с полуваликом; внутренняя сторона локотников, спинки и сидение обтянуто дермантином.  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3</w:t>
            </w: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Бра (помещение парадной лестницы, 6-Н (10), 7-Н (13, 15, 14)): материал –  латунь, стекло; на 2 светоточки; стенник  в виде профилированного диска на ромбовидном основании, от него отходят два изогнутых рожка; плафоны блюдцеобразные молочного стекла. 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27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Люстра (помещение 6-Н (6, 8), 7-Н (14):</w:t>
            </w:r>
            <w:r w:rsidRPr="00744A97">
              <w:rPr>
                <w:rFonts w:eastAsia="Times New Roman"/>
              </w:rPr>
              <w:t xml:space="preserve"> </w:t>
            </w:r>
            <w:r w:rsidRPr="00744A97">
              <w:rPr>
                <w:rFonts w:eastAsia="Times New Roman"/>
                <w:sz w:val="20"/>
                <w:szCs w:val="20"/>
              </w:rPr>
              <w:t>материал –  латунь,  стекло; на 12 светоточек, грушевидной формы; потолочное крепление в виде диска; к гладкому штоку крепятся верхний малый и нижний большой ободы, соединенные пронизками, нижняя часть в виде корзины из пронизок с квадратными бусинами, с диском со вставкой молочного стекла в завершении.</w:t>
            </w:r>
          </w:p>
          <w:p w:rsidR="00744A97" w:rsidRPr="00744A97" w:rsidRDefault="00744A97" w:rsidP="00744A97">
            <w:pPr>
              <w:widowControl w:val="0"/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12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 xml:space="preserve">Бра  (помещение 6-Н (14): материал –  латунь, стекло; на 1 светоточку, стенник  в виде профилированного диска на ромбовидном основании, от него отходит один изогнутый рожок, плафон блюдцеобразный молочного стекла. 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12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lastRenderedPageBreak/>
              <w:t>Люстра (помещение 6-Н (10): материал –  латунь, стекло; 4-х ярусная, ступенчатая с корзиной из пронизок квадратных бусин, диск в нижней части; ободы со вставками молочного стекла и «бахромой» из бусин по краю.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1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numPr>
                <w:ilvl w:val="0"/>
                <w:numId w:val="1"/>
              </w:numPr>
              <w:ind w:left="351" w:hanging="283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Люстра (помещение 8-Н (34): материал –  латунь, стекло; центральный обод со вставками молочного стекла, корзина из пронизок, в завершении с диском со вставкой молочного стекла; широкий обод с «бахромой» из бусин.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Время: к. 1930-х гг.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  <w:r w:rsidRPr="00744A97">
              <w:rPr>
                <w:rFonts w:eastAsia="Times New Roman"/>
                <w:sz w:val="20"/>
                <w:szCs w:val="20"/>
              </w:rPr>
              <w:t>Количество: 1</w:t>
            </w: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ind w:left="351"/>
              <w:jc w:val="both"/>
              <w:rPr>
                <w:rFonts w:eastAsia="Times New Roman"/>
                <w:sz w:val="20"/>
                <w:szCs w:val="20"/>
              </w:rPr>
            </w:pPr>
          </w:p>
          <w:p w:rsidR="00744A97" w:rsidRPr="00744A97" w:rsidRDefault="00744A97" w:rsidP="00744A97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noProof/>
                <w:sz w:val="16"/>
                <w:szCs w:val="16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2143125" cy="1609725"/>
                  <wp:effectExtent l="0" t="0" r="9525" b="9525"/>
                  <wp:docPr id="45" name="Рисунок 45" descr="Описание: IMGP2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IMGP2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noProof/>
                <w:sz w:val="16"/>
                <w:szCs w:val="16"/>
              </w:rPr>
            </w:pPr>
          </w:p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143125" cy="1781175"/>
                  <wp:effectExtent l="0" t="0" r="9525" b="9525"/>
                  <wp:docPr id="44" name="Рисунок 44" descr="Описание: тамб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тамб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22"/>
                <w:szCs w:val="22"/>
              </w:rPr>
              <w:drawing>
                <wp:inline distT="0" distB="0" distL="0" distR="0">
                  <wp:extent cx="2219325" cy="332422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22"/>
                <w:szCs w:val="22"/>
              </w:rPr>
              <w:drawing>
                <wp:inline distT="0" distB="0" distL="0" distR="0">
                  <wp:extent cx="1104900" cy="1647825"/>
                  <wp:effectExtent l="0" t="0" r="0" b="9525"/>
                  <wp:docPr id="42" name="Рисунок 42" descr="Описание: IMGP1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IMGP1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4A97">
              <w:rPr>
                <w:rFonts w:eastAsia="Times New Roman"/>
                <w:sz w:val="22"/>
                <w:szCs w:val="22"/>
              </w:rPr>
              <w:t xml:space="preserve"> </w:t>
            </w:r>
            <w:r w:rsidRPr="00744A97">
              <w:rPr>
                <w:rFonts w:eastAsia="Times New Roman"/>
                <w:noProof/>
                <w:sz w:val="22"/>
                <w:szCs w:val="22"/>
              </w:rPr>
              <w:drawing>
                <wp:inline distT="0" distB="0" distL="0" distR="0">
                  <wp:extent cx="952500" cy="1857375"/>
                  <wp:effectExtent l="0" t="0" r="0" b="9525"/>
                  <wp:docPr id="41" name="Рисунок 41" descr="Описание: IMGP1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IMGP1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143125" cy="1609725"/>
                  <wp:effectExtent l="0" t="0" r="9525" b="9525"/>
                  <wp:docPr id="40" name="Рисунок 40" descr="Описание: IMGP2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IMGP2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1581150" cy="2705100"/>
                  <wp:effectExtent l="0" t="0" r="0" b="0"/>
                  <wp:docPr id="39" name="Рисунок 39" descr="Описание: IMGP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IMGP2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200275" cy="19050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28825" cy="13335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552575" cy="11334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076450" cy="9525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781175" cy="21431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971675" cy="30003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47875" cy="14859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2133600" cy="1628775"/>
                  <wp:effectExtent l="0" t="0" r="0" b="9525"/>
                  <wp:docPr id="31" name="Рисунок 31" descr="Описание: двер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двер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076325" cy="16097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4A97">
              <w:rPr>
                <w:rFonts w:eastAsia="Times New Roman"/>
                <w:noProof/>
              </w:rPr>
              <w:t xml:space="preserve"> </w:t>
            </w: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828675" cy="14287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143125" cy="1609725"/>
                  <wp:effectExtent l="0" t="0" r="9525" b="9525"/>
                  <wp:docPr id="28" name="Рисунок 28" descr="Описание: IMGP2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IMGP2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noProof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990600" cy="1181100"/>
                  <wp:effectExtent l="0" t="0" r="0" b="0"/>
                  <wp:docPr id="27" name="Рисунок 27" descr="Описание: реше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реше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4A97">
              <w:rPr>
                <w:rFonts w:eastAsia="Times New Roman"/>
                <w:noProof/>
              </w:rPr>
              <w:t xml:space="preserve"> </w:t>
            </w: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942975" cy="11049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76450" cy="141922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09775" cy="9810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1152525" cy="19812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752600" cy="1676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952625" cy="32099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143125" cy="1609725"/>
                  <wp:effectExtent l="0" t="0" r="9525" b="9525"/>
                  <wp:docPr id="20" name="Рисунок 20" descr="Описание: IMGP2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Описание: IMGP2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1695450" cy="1238250"/>
                  <wp:effectExtent l="0" t="0" r="0" b="0"/>
                  <wp:docPr id="19" name="Рисунок 19" descr="Описание: решетки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Описание: решетки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428750" cy="11620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143125" cy="1609725"/>
                  <wp:effectExtent l="0" t="0" r="9525" b="9525"/>
                  <wp:docPr id="17" name="Рисунок 17" descr="Описание: IMGP2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Описание: IMGP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095500" cy="1219200"/>
                  <wp:effectExtent l="0" t="0" r="0" b="0"/>
                  <wp:docPr id="16" name="Рисунок 16" descr="Описание: IMGP2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Описание: IMGP2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22"/>
                <w:szCs w:val="22"/>
              </w:rPr>
              <w:drawing>
                <wp:inline distT="0" distB="0" distL="0" distR="0">
                  <wp:extent cx="1847850" cy="13811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16"/>
                <w:szCs w:val="16"/>
              </w:rPr>
              <w:drawing>
                <wp:inline distT="0" distB="0" distL="0" distR="0">
                  <wp:extent cx="2143125" cy="1609725"/>
                  <wp:effectExtent l="0" t="0" r="9525" b="9525"/>
                  <wp:docPr id="14" name="Рисунок 14" descr="Описание: IMGP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Описание: IMGP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200275" cy="16478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2200275" cy="25241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1066800" cy="22764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noProof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2085975" cy="7239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</w:rPr>
              <w:drawing>
                <wp:inline distT="0" distB="0" distL="0" distR="0">
                  <wp:extent cx="1752600" cy="1162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2200275" cy="1095375"/>
                  <wp:effectExtent l="0" t="0" r="9525" b="9525"/>
                  <wp:docPr id="8" name="Рисунок 8" descr="Описание: диван 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Описание: диван 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2171700" cy="1781175"/>
                  <wp:effectExtent l="0" t="0" r="0" b="9525"/>
                  <wp:docPr id="7" name="Рисунок 7" descr="Описание: б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Описание: б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lum bright="18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1952625" cy="2590800"/>
                  <wp:effectExtent l="0" t="0" r="9525" b="0"/>
                  <wp:docPr id="6" name="Рисунок 6" descr="Описание: люстра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Описание: люстр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2000250" cy="2438400"/>
                  <wp:effectExtent l="0" t="0" r="0" b="0"/>
                  <wp:docPr id="5" name="Рисунок 5" descr="Описание: бр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Описание: бр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lum bright="24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2000250" cy="2676525"/>
                  <wp:effectExtent l="0" t="0" r="0" b="9525"/>
                  <wp:docPr id="4" name="Рисунок 4" descr="IMGP2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GP2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noProof/>
                <w:color w:val="000000"/>
                <w:sz w:val="20"/>
              </w:rPr>
            </w:pPr>
            <w:r w:rsidRPr="00744A97">
              <w:rPr>
                <w:rFonts w:eastAsia="Times New Roman"/>
                <w:noProof/>
                <w:color w:val="000000"/>
                <w:sz w:val="20"/>
              </w:rPr>
              <w:drawing>
                <wp:inline distT="0" distB="0" distL="0" distR="0">
                  <wp:extent cx="1838325" cy="1952625"/>
                  <wp:effectExtent l="0" t="0" r="9525" b="9525"/>
                  <wp:docPr id="3" name="Рисунок 3" descr="Описание: люстр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Описание: люстр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lum bright="24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A97" w:rsidRPr="00744A97" w:rsidRDefault="00744A97" w:rsidP="00744A97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744A97" w:rsidRPr="00744A97" w:rsidRDefault="00744A97" w:rsidP="00744A97">
      <w:pPr>
        <w:jc w:val="both"/>
        <w:rPr>
          <w:rFonts w:eastAsia="Times New Roman"/>
        </w:rPr>
      </w:pPr>
    </w:p>
    <w:p w:rsidR="00744A97" w:rsidRDefault="00744A97" w:rsidP="00744A97">
      <w:pPr>
        <w:tabs>
          <w:tab w:val="left" w:pos="7635"/>
        </w:tabs>
      </w:pPr>
    </w:p>
    <w:p w:rsidR="00744A97" w:rsidRDefault="00744A97" w:rsidP="00744A97">
      <w:pPr>
        <w:tabs>
          <w:tab w:val="left" w:pos="7635"/>
        </w:tabs>
      </w:pPr>
    </w:p>
    <w:p w:rsidR="00744A97" w:rsidRDefault="00744A97" w:rsidP="00744A97">
      <w:pPr>
        <w:tabs>
          <w:tab w:val="left" w:pos="7635"/>
        </w:tabs>
      </w:pPr>
    </w:p>
    <w:p w:rsidR="00744A97" w:rsidRDefault="00744A97" w:rsidP="00744A97">
      <w:pPr>
        <w:tabs>
          <w:tab w:val="left" w:pos="7635"/>
        </w:tabs>
      </w:pPr>
    </w:p>
    <w:p w:rsidR="007C1A68" w:rsidRDefault="00744A97"/>
    <w:sectPr w:rsidR="007C1A68">
      <w:headerReference w:type="even" r:id="rId66"/>
      <w:pgSz w:w="11906" w:h="16838"/>
      <w:pgMar w:top="851" w:right="851" w:bottom="851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D94" w:rsidRDefault="00744A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A01D94" w:rsidRDefault="00744A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D37B9"/>
    <w:multiLevelType w:val="hybridMultilevel"/>
    <w:tmpl w:val="F442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97"/>
    <w:rsid w:val="000733FE"/>
    <w:rsid w:val="000734E5"/>
    <w:rsid w:val="00744A97"/>
    <w:rsid w:val="008F0310"/>
    <w:rsid w:val="00D3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C3197-8AC1-4A3C-AE08-ECB8E4AE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A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sid w:val="00744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rsid w:val="00744A97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744A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44A97"/>
  </w:style>
  <w:style w:type="paragraph" w:styleId="2">
    <w:name w:val="Body Text Indent 2"/>
    <w:basedOn w:val="a"/>
    <w:link w:val="20"/>
    <w:rsid w:val="00744A97"/>
    <w:pPr>
      <w:spacing w:line="360" w:lineRule="auto"/>
      <w:ind w:firstLine="567"/>
      <w:jc w:val="both"/>
    </w:pPr>
    <w:rPr>
      <w:rFonts w:eastAsia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744A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emf"/><Relationship Id="rId63" Type="http://schemas.openxmlformats.org/officeDocument/2006/relationships/image" Target="media/image59.jpeg"/><Relationship Id="rId68" Type="http://schemas.openxmlformats.org/officeDocument/2006/relationships/theme" Target="theme/theme1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emf"/><Relationship Id="rId58" Type="http://schemas.openxmlformats.org/officeDocument/2006/relationships/image" Target="media/image54.png"/><Relationship Id="rId66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emf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emf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emf"/><Relationship Id="rId64" Type="http://schemas.openxmlformats.org/officeDocument/2006/relationships/image" Target="media/image60.jpeg"/><Relationship Id="rId8" Type="http://schemas.openxmlformats.org/officeDocument/2006/relationships/image" Target="media/image4.emf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9.jpeg"/><Relationship Id="rId38" Type="http://schemas.openxmlformats.org/officeDocument/2006/relationships/image" Target="media/image34.emf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fontTable" Target="fontTable.xml"/><Relationship Id="rId20" Type="http://schemas.openxmlformats.org/officeDocument/2006/relationships/image" Target="media/image16.emf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Брыков Дмитрий Сергеевич</dc:creator>
  <cp:keywords/>
  <dc:description/>
  <cp:lastModifiedBy>Брыков Дмитрий Сергеевич</cp:lastModifiedBy>
  <cp:revision>1</cp:revision>
  <dcterms:created xsi:type="dcterms:W3CDTF">2024-06-17T13:42:00Z</dcterms:created>
  <dcterms:modified xsi:type="dcterms:W3CDTF">2024-06-17T13:48:00Z</dcterms:modified>
</cp:coreProperties>
</file>