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637" w:rsidRDefault="00301637" w:rsidP="00983E4E">
      <w:pPr>
        <w:autoSpaceDE w:val="0"/>
        <w:autoSpaceDN w:val="0"/>
        <w:adjustRightInd w:val="0"/>
        <w:ind w:left="5245"/>
        <w:rPr>
          <w:sz w:val="20"/>
        </w:rPr>
      </w:pPr>
      <w:r w:rsidRPr="00EA2605">
        <w:rPr>
          <w:sz w:val="20"/>
        </w:rPr>
        <w:t>Приложение</w:t>
      </w:r>
      <w:r w:rsidR="00267427">
        <w:rPr>
          <w:sz w:val="20"/>
        </w:rPr>
        <w:t xml:space="preserve"> № </w:t>
      </w:r>
      <w:bookmarkStart w:id="0" w:name="_GoBack"/>
      <w:bookmarkEnd w:id="0"/>
      <w:r w:rsidR="00267427">
        <w:rPr>
          <w:sz w:val="20"/>
        </w:rPr>
        <w:t>4</w:t>
      </w:r>
      <w:r w:rsidRPr="00EA2605">
        <w:rPr>
          <w:sz w:val="20"/>
        </w:rPr>
        <w:t xml:space="preserve"> </w:t>
      </w:r>
    </w:p>
    <w:p w:rsidR="00301637" w:rsidRPr="00E36CEA" w:rsidRDefault="00301637" w:rsidP="00983E4E">
      <w:pPr>
        <w:autoSpaceDE w:val="0"/>
        <w:autoSpaceDN w:val="0"/>
        <w:adjustRightInd w:val="0"/>
        <w:ind w:left="5245"/>
        <w:rPr>
          <w:sz w:val="20"/>
        </w:rPr>
      </w:pPr>
      <w:r w:rsidRPr="00E36CEA">
        <w:rPr>
          <w:sz w:val="20"/>
        </w:rPr>
        <w:t>к Административному регламенту</w:t>
      </w:r>
    </w:p>
    <w:p w:rsidR="00301637" w:rsidRPr="00E36CEA" w:rsidRDefault="00301637" w:rsidP="00983E4E">
      <w:pPr>
        <w:autoSpaceDE w:val="0"/>
        <w:autoSpaceDN w:val="0"/>
        <w:adjustRightInd w:val="0"/>
        <w:ind w:left="5245"/>
        <w:rPr>
          <w:sz w:val="20"/>
        </w:rPr>
      </w:pPr>
      <w:r w:rsidRPr="00E36CEA">
        <w:rPr>
          <w:sz w:val="20"/>
        </w:rPr>
        <w:t>Комитета по градостроительству и архитектуре</w:t>
      </w:r>
    </w:p>
    <w:p w:rsidR="00301637" w:rsidRDefault="00301637" w:rsidP="00983E4E">
      <w:pPr>
        <w:autoSpaceDE w:val="0"/>
        <w:autoSpaceDN w:val="0"/>
        <w:adjustRightInd w:val="0"/>
        <w:ind w:left="5245"/>
        <w:rPr>
          <w:sz w:val="20"/>
        </w:rPr>
      </w:pPr>
      <w:r w:rsidRPr="00E36CEA">
        <w:rPr>
          <w:sz w:val="20"/>
        </w:rPr>
        <w:t>по предоставлению государственной услуги</w:t>
      </w:r>
    </w:p>
    <w:p w:rsidR="00301637" w:rsidRDefault="00301637" w:rsidP="00983E4E">
      <w:pPr>
        <w:autoSpaceDE w:val="0"/>
        <w:autoSpaceDN w:val="0"/>
        <w:adjustRightInd w:val="0"/>
        <w:ind w:left="5245"/>
        <w:rPr>
          <w:sz w:val="20"/>
        </w:rPr>
      </w:pPr>
      <w:r>
        <w:rPr>
          <w:sz w:val="20"/>
        </w:rPr>
        <w:t xml:space="preserve">по </w:t>
      </w:r>
      <w:r w:rsidR="004C341F">
        <w:rPr>
          <w:sz w:val="20"/>
        </w:rPr>
        <w:t>выдаче заданий</w:t>
      </w:r>
      <w:r w:rsidR="001B5ACC">
        <w:rPr>
          <w:sz w:val="20"/>
        </w:rPr>
        <w:t xml:space="preserve"> на разработку проектов</w:t>
      </w:r>
    </w:p>
    <w:p w:rsidR="00CE7203" w:rsidRPr="00606EDE" w:rsidRDefault="001B5ACC" w:rsidP="00983E4E">
      <w:pPr>
        <w:autoSpaceDE w:val="0"/>
        <w:autoSpaceDN w:val="0"/>
        <w:adjustRightInd w:val="0"/>
        <w:ind w:left="5245"/>
        <w:rPr>
          <w:sz w:val="20"/>
        </w:rPr>
      </w:pPr>
      <w:r>
        <w:rPr>
          <w:sz w:val="20"/>
        </w:rPr>
        <w:t>благоустройства</w:t>
      </w:r>
    </w:p>
    <w:p w:rsidR="00C16D53" w:rsidRDefault="00C16D53" w:rsidP="00C16D53">
      <w:pPr>
        <w:jc w:val="center"/>
        <w:rPr>
          <w:sz w:val="28"/>
          <w:szCs w:val="28"/>
        </w:rPr>
      </w:pPr>
    </w:p>
    <w:p w:rsidR="008917F5" w:rsidRDefault="008917F5" w:rsidP="00C16D53">
      <w:pPr>
        <w:jc w:val="center"/>
        <w:rPr>
          <w:sz w:val="28"/>
          <w:szCs w:val="28"/>
        </w:rPr>
      </w:pPr>
    </w:p>
    <w:p w:rsidR="008917F5" w:rsidRDefault="008917F5" w:rsidP="00C16D53">
      <w:pPr>
        <w:jc w:val="center"/>
        <w:rPr>
          <w:sz w:val="28"/>
          <w:szCs w:val="28"/>
        </w:rPr>
      </w:pPr>
    </w:p>
    <w:p w:rsidR="00C16D53" w:rsidRPr="00220EF0" w:rsidRDefault="00C16D53" w:rsidP="00C16D53">
      <w:pPr>
        <w:jc w:val="center"/>
      </w:pPr>
      <w:r w:rsidRPr="00220EF0">
        <w:t xml:space="preserve">Структурные подразделения </w:t>
      </w:r>
    </w:p>
    <w:p w:rsidR="00C16D53" w:rsidRPr="00220EF0" w:rsidRDefault="00C16D53" w:rsidP="00C16D53">
      <w:pPr>
        <w:jc w:val="center"/>
      </w:pPr>
      <w:r w:rsidRPr="00220EF0">
        <w:t xml:space="preserve">Комитета по градостроительству и архитектуре, </w:t>
      </w:r>
    </w:p>
    <w:p w:rsidR="00301637" w:rsidRPr="00220EF0" w:rsidRDefault="00C16D53" w:rsidP="00BA0A20">
      <w:pPr>
        <w:jc w:val="center"/>
      </w:pPr>
      <w:r w:rsidRPr="00220EF0">
        <w:t>организовывающие выдачу задания на раз</w:t>
      </w:r>
      <w:r w:rsidR="008917F5">
        <w:t xml:space="preserve">работку проекта </w:t>
      </w:r>
      <w:r w:rsidR="008917F5">
        <w:br/>
        <w:t>благоустройства</w:t>
      </w:r>
    </w:p>
    <w:p w:rsidR="00267427" w:rsidRPr="00267427" w:rsidRDefault="00267427" w:rsidP="00267427">
      <w:pPr>
        <w:pStyle w:val="ConsPlusTitle"/>
        <w:ind w:firstLine="540"/>
        <w:jc w:val="both"/>
        <w:outlineLvl w:val="2"/>
      </w:pPr>
    </w:p>
    <w:p w:rsidR="00220EF0" w:rsidRPr="006D5456" w:rsidRDefault="00267427" w:rsidP="00220EF0">
      <w:pPr>
        <w:pStyle w:val="ConsPlusTitle"/>
        <w:ind w:firstLine="851"/>
        <w:jc w:val="both"/>
        <w:outlineLvl w:val="2"/>
        <w:rPr>
          <w:szCs w:val="24"/>
        </w:rPr>
      </w:pPr>
      <w:r w:rsidRPr="006D5456">
        <w:rPr>
          <w:szCs w:val="24"/>
        </w:rPr>
        <w:t>1. Управление городской среды:</w:t>
      </w:r>
    </w:p>
    <w:p w:rsidR="006D5456" w:rsidRDefault="006D5456" w:rsidP="00220EF0">
      <w:pPr>
        <w:pStyle w:val="ConsPlusTitle"/>
        <w:ind w:firstLine="851"/>
        <w:jc w:val="both"/>
        <w:outlineLvl w:val="2"/>
        <w:rPr>
          <w:b w:val="0"/>
          <w:szCs w:val="24"/>
        </w:rPr>
      </w:pPr>
    </w:p>
    <w:p w:rsidR="00220EF0" w:rsidRPr="00BD3BFA" w:rsidRDefault="00267427" w:rsidP="00220EF0">
      <w:pPr>
        <w:pStyle w:val="ConsPlusTitle"/>
        <w:ind w:firstLine="851"/>
        <w:jc w:val="both"/>
        <w:outlineLvl w:val="2"/>
        <w:rPr>
          <w:b w:val="0"/>
          <w:szCs w:val="24"/>
        </w:rPr>
      </w:pPr>
      <w:r w:rsidRPr="0049360F">
        <w:rPr>
          <w:b w:val="0"/>
          <w:szCs w:val="24"/>
        </w:rPr>
        <w:t>1</w:t>
      </w:r>
      <w:r w:rsidRPr="00BD3BFA">
        <w:rPr>
          <w:b w:val="0"/>
          <w:szCs w:val="24"/>
        </w:rPr>
        <w:t>.1. Отдел рекламы и информации:</w:t>
      </w:r>
    </w:p>
    <w:p w:rsidR="00220EF0" w:rsidRPr="00BD3BFA" w:rsidRDefault="00267427" w:rsidP="00220EF0">
      <w:pPr>
        <w:pStyle w:val="ConsPlusTitle"/>
        <w:ind w:firstLine="851"/>
        <w:jc w:val="both"/>
        <w:outlineLvl w:val="2"/>
        <w:rPr>
          <w:b w:val="0"/>
          <w:szCs w:val="24"/>
        </w:rPr>
      </w:pPr>
      <w:r w:rsidRPr="00BD3BFA">
        <w:rPr>
          <w:b w:val="0"/>
          <w:szCs w:val="24"/>
        </w:rPr>
        <w:t>архитектурная подсветка (на фасаде).</w:t>
      </w:r>
    </w:p>
    <w:p w:rsidR="00220EF0" w:rsidRPr="00BD3BFA" w:rsidRDefault="00AF4EFC" w:rsidP="00220EF0">
      <w:pPr>
        <w:pStyle w:val="ConsPlusTitle"/>
        <w:ind w:firstLine="851"/>
        <w:jc w:val="both"/>
        <w:outlineLvl w:val="2"/>
        <w:rPr>
          <w:b w:val="0"/>
          <w:szCs w:val="24"/>
        </w:rPr>
      </w:pPr>
      <w:r w:rsidRPr="00BD3BFA">
        <w:rPr>
          <w:b w:val="0"/>
          <w:szCs w:val="24"/>
        </w:rPr>
        <w:t>1.</w:t>
      </w:r>
      <w:r w:rsidR="003C401D">
        <w:rPr>
          <w:b w:val="0"/>
          <w:szCs w:val="24"/>
        </w:rPr>
        <w:t>2.</w:t>
      </w:r>
      <w:r w:rsidRPr="00BD3BFA">
        <w:rPr>
          <w:b w:val="0"/>
          <w:szCs w:val="24"/>
        </w:rPr>
        <w:t xml:space="preserve"> Сектор </w:t>
      </w:r>
      <w:r w:rsidR="00267427" w:rsidRPr="00BD3BFA">
        <w:rPr>
          <w:b w:val="0"/>
          <w:szCs w:val="24"/>
        </w:rPr>
        <w:t>колористики</w:t>
      </w:r>
      <w:r w:rsidRPr="00BD3BFA">
        <w:rPr>
          <w:b w:val="0"/>
          <w:szCs w:val="24"/>
        </w:rPr>
        <w:t xml:space="preserve"> и приемки</w:t>
      </w:r>
      <w:r w:rsidR="00267427" w:rsidRPr="00BD3BFA">
        <w:rPr>
          <w:b w:val="0"/>
          <w:szCs w:val="24"/>
        </w:rPr>
        <w:t xml:space="preserve"> фасадов </w:t>
      </w:r>
      <w:r w:rsidR="007A2B2F" w:rsidRPr="00BD3BFA">
        <w:rPr>
          <w:b w:val="0"/>
          <w:szCs w:val="24"/>
        </w:rPr>
        <w:t xml:space="preserve">отдела архитектуры и инженерного оборудования фасадов </w:t>
      </w:r>
      <w:r w:rsidR="00267427" w:rsidRPr="00BD3BFA">
        <w:rPr>
          <w:b w:val="0"/>
          <w:szCs w:val="24"/>
        </w:rPr>
        <w:t>(при капитальном, текущем ремонте фасадов жилых зданий):</w:t>
      </w:r>
    </w:p>
    <w:p w:rsidR="00220EF0" w:rsidRPr="00BD3BFA" w:rsidRDefault="00220EF0" w:rsidP="00220EF0">
      <w:pPr>
        <w:pStyle w:val="ConsPlusTitle"/>
        <w:ind w:firstLine="851"/>
        <w:jc w:val="both"/>
        <w:outlineLvl w:val="2"/>
        <w:rPr>
          <w:b w:val="0"/>
          <w:szCs w:val="24"/>
        </w:rPr>
      </w:pPr>
      <w:r w:rsidRPr="00BD3BFA">
        <w:rPr>
          <w:b w:val="0"/>
          <w:szCs w:val="24"/>
        </w:rPr>
        <w:t>у</w:t>
      </w:r>
      <w:r w:rsidR="00267427" w:rsidRPr="00BD3BFA">
        <w:rPr>
          <w:b w:val="0"/>
          <w:szCs w:val="24"/>
        </w:rPr>
        <w:t xml:space="preserve">стройства декоративные, технические, конструктивные: </w:t>
      </w:r>
    </w:p>
    <w:p w:rsidR="00220EF0" w:rsidRPr="00BD3BFA" w:rsidRDefault="00267427" w:rsidP="00220EF0">
      <w:pPr>
        <w:pStyle w:val="ConsPlusTitle"/>
        <w:ind w:firstLine="851"/>
        <w:jc w:val="both"/>
        <w:outlineLvl w:val="2"/>
        <w:rPr>
          <w:b w:val="0"/>
          <w:szCs w:val="24"/>
        </w:rPr>
      </w:pPr>
      <w:r w:rsidRPr="00BD3BFA">
        <w:rPr>
          <w:b w:val="0"/>
          <w:szCs w:val="24"/>
        </w:rPr>
        <w:t>архитектурные детали и конструктивные элементы фасадов, включая цоколи, стилобаты, карнизы, архитравы, фризы, пояса, сандрики, парапеты, выступы, колонны, пилястры, пилоны, столбы, полуколонны, кариатиды, атланты, лопатки, балконы, лоджии, эркеры, фронтоны, аркады, портики, колоннады, порталы, архитектурные проемы, окна, оконные заполнения, витрины, витринные заполнения, входы, входные группы, элементы входов и входных групп (включая дверные конструкции, дверные заполнения, пандус, подъемник, навес, козырек, лестницу, площадку, ступени, ограждение, приямок, аппарели, поручни (в том числе не являющиеся элементом обеспечения доступа маломобильных групп граждан), ворота;</w:t>
      </w:r>
    </w:p>
    <w:p w:rsidR="00220EF0" w:rsidRPr="00BD3BFA" w:rsidRDefault="00267427" w:rsidP="00220EF0">
      <w:pPr>
        <w:pStyle w:val="ConsPlusTitle"/>
        <w:ind w:firstLine="851"/>
        <w:jc w:val="both"/>
        <w:outlineLvl w:val="2"/>
        <w:rPr>
          <w:b w:val="0"/>
          <w:szCs w:val="24"/>
        </w:rPr>
      </w:pPr>
      <w:r w:rsidRPr="00BD3BFA">
        <w:rPr>
          <w:b w:val="0"/>
          <w:szCs w:val="24"/>
        </w:rPr>
        <w:t>элементы декора фасадов зданий, сооружений, включая барельефы, горельефы, скульптуры, розетки, русты, наличники, тяги оконные, подоконные плиты, плиты, оконные и дверные обрамления, металлодекор, отделку фасадов (штукатурка, облицовка, окраска);</w:t>
      </w:r>
    </w:p>
    <w:p w:rsidR="00EE5270" w:rsidRPr="00BD3BFA" w:rsidRDefault="00267427" w:rsidP="00EE5270">
      <w:pPr>
        <w:pStyle w:val="ConsPlusTitle"/>
        <w:ind w:firstLine="851"/>
        <w:jc w:val="both"/>
        <w:outlineLvl w:val="2"/>
        <w:rPr>
          <w:b w:val="0"/>
          <w:szCs w:val="24"/>
        </w:rPr>
      </w:pPr>
      <w:r w:rsidRPr="00BD3BFA">
        <w:rPr>
          <w:b w:val="0"/>
          <w:szCs w:val="24"/>
        </w:rPr>
        <w:t>устройства наружного освещения (на фасаде).</w:t>
      </w:r>
    </w:p>
    <w:p w:rsidR="00EE5270" w:rsidRPr="00BD3BFA" w:rsidRDefault="00267427" w:rsidP="00EE5270">
      <w:pPr>
        <w:pStyle w:val="ConsPlusTitle"/>
        <w:ind w:firstLine="851"/>
        <w:jc w:val="both"/>
        <w:outlineLvl w:val="2"/>
        <w:rPr>
          <w:b w:val="0"/>
          <w:szCs w:val="24"/>
        </w:rPr>
      </w:pPr>
      <w:r w:rsidRPr="00BD3BFA">
        <w:rPr>
          <w:b w:val="0"/>
          <w:szCs w:val="24"/>
        </w:rPr>
        <w:t xml:space="preserve">1.3. Отдел архитектуры и инженерного оборудования фасадов (при размещении </w:t>
      </w:r>
      <w:r w:rsidR="00EE5270" w:rsidRPr="00BD3BFA">
        <w:rPr>
          <w:b w:val="0"/>
          <w:szCs w:val="24"/>
        </w:rPr>
        <w:br/>
      </w:r>
      <w:r w:rsidRPr="00BD3BFA">
        <w:rPr>
          <w:b w:val="0"/>
          <w:szCs w:val="24"/>
        </w:rPr>
        <w:t>и при капитальном, текущем ремонте фасадов нежилых зданий):</w:t>
      </w:r>
    </w:p>
    <w:p w:rsidR="00EE5270" w:rsidRPr="00BD3BFA" w:rsidRDefault="00EE5270" w:rsidP="00EE5270">
      <w:pPr>
        <w:pStyle w:val="ConsPlusTitle"/>
        <w:ind w:firstLine="851"/>
        <w:jc w:val="both"/>
        <w:outlineLvl w:val="2"/>
        <w:rPr>
          <w:b w:val="0"/>
          <w:szCs w:val="24"/>
        </w:rPr>
      </w:pPr>
      <w:r w:rsidRPr="00BD3BFA">
        <w:rPr>
          <w:b w:val="0"/>
          <w:szCs w:val="24"/>
        </w:rPr>
        <w:t>у</w:t>
      </w:r>
      <w:r w:rsidR="00267427" w:rsidRPr="00BD3BFA">
        <w:rPr>
          <w:b w:val="0"/>
          <w:szCs w:val="24"/>
        </w:rPr>
        <w:t xml:space="preserve">стройства декоративные, технические, конструктивные: </w:t>
      </w:r>
    </w:p>
    <w:p w:rsidR="00EE5270" w:rsidRPr="00BD3BFA" w:rsidRDefault="00267427" w:rsidP="00EE5270">
      <w:pPr>
        <w:pStyle w:val="ConsPlusTitle"/>
        <w:ind w:firstLine="851"/>
        <w:jc w:val="both"/>
        <w:outlineLvl w:val="2"/>
        <w:rPr>
          <w:b w:val="0"/>
          <w:szCs w:val="24"/>
        </w:rPr>
      </w:pPr>
      <w:r w:rsidRPr="00BD3BFA">
        <w:rPr>
          <w:b w:val="0"/>
          <w:szCs w:val="24"/>
        </w:rPr>
        <w:t>архитектурные детали и конструктивные элементы фасадов, включая цоколи, стилобаты, карнизы, архитравы, фризы, пояса, сандрики, парапеты, выступы, колонны, пилястры, пилоны, столбы, полуколонны, кариатиды, атланты, лопатки, балконы, лоджии, эркеры, фронтоны, аркады, портики, колоннады, порталы, архитектурные проемы, окна, оконные заполнения, витрины, витринные заполнения, входы, входные группы, элементы входов и входных групп (включая дверные конструкции, дверные заполнения, пандус, подъемник, навес, козырек, лестницу, площадку, ступени, ограждение, приямок, аппарели, поручни (в том числе не являющиеся элементом обеспечения доступа маломобильных групп граждан), ворота;</w:t>
      </w:r>
    </w:p>
    <w:p w:rsidR="00EE5270" w:rsidRPr="00BD3BFA" w:rsidRDefault="00267427" w:rsidP="00EE5270">
      <w:pPr>
        <w:pStyle w:val="ConsPlusTitle"/>
        <w:ind w:firstLine="851"/>
        <w:jc w:val="both"/>
        <w:outlineLvl w:val="2"/>
        <w:rPr>
          <w:b w:val="0"/>
          <w:szCs w:val="24"/>
        </w:rPr>
      </w:pPr>
      <w:r w:rsidRPr="00BD3BFA">
        <w:rPr>
          <w:b w:val="0"/>
          <w:szCs w:val="24"/>
        </w:rPr>
        <w:t>элементы декора фасадов зданий, сооружений, включая барельефы, горельефы, скульптуры, розетки, русты, наличники, тяги оконные, подоконные плиты, плиты, оконные и дверные обрамления, металлодекор, отделку фасадов (штукатурка, облицовка, окраска);</w:t>
      </w:r>
    </w:p>
    <w:p w:rsidR="00EE5270" w:rsidRPr="00BD3BFA" w:rsidRDefault="00267427" w:rsidP="00EE5270">
      <w:pPr>
        <w:pStyle w:val="ConsPlusTitle"/>
        <w:ind w:firstLine="851"/>
        <w:jc w:val="both"/>
        <w:outlineLvl w:val="2"/>
        <w:rPr>
          <w:b w:val="0"/>
          <w:szCs w:val="24"/>
        </w:rPr>
      </w:pPr>
      <w:r w:rsidRPr="00BD3BFA">
        <w:rPr>
          <w:b w:val="0"/>
          <w:szCs w:val="24"/>
        </w:rPr>
        <w:t>устройства наружного освещения (на фасаде)</w:t>
      </w:r>
      <w:r w:rsidR="00632C73" w:rsidRPr="00BD3BFA">
        <w:rPr>
          <w:b w:val="0"/>
          <w:szCs w:val="24"/>
        </w:rPr>
        <w:t>.</w:t>
      </w:r>
    </w:p>
    <w:p w:rsidR="00EE5270" w:rsidRPr="00BD3BFA" w:rsidRDefault="00632C73" w:rsidP="00EE5270">
      <w:pPr>
        <w:pStyle w:val="ConsPlusTitle"/>
        <w:ind w:firstLine="851"/>
        <w:jc w:val="both"/>
        <w:outlineLvl w:val="2"/>
        <w:rPr>
          <w:b w:val="0"/>
          <w:szCs w:val="24"/>
        </w:rPr>
      </w:pPr>
      <w:r w:rsidRPr="00BD3BFA">
        <w:rPr>
          <w:b w:val="0"/>
          <w:szCs w:val="24"/>
        </w:rPr>
        <w:t>О</w:t>
      </w:r>
      <w:r w:rsidR="00267427" w:rsidRPr="00BD3BFA">
        <w:rPr>
          <w:b w:val="0"/>
          <w:szCs w:val="24"/>
        </w:rPr>
        <w:t>борудование:</w:t>
      </w:r>
    </w:p>
    <w:p w:rsidR="00EE5270" w:rsidRPr="00BD3BFA" w:rsidRDefault="00267427" w:rsidP="00EE5270">
      <w:pPr>
        <w:pStyle w:val="ConsPlusTitle"/>
        <w:ind w:firstLine="851"/>
        <w:jc w:val="both"/>
        <w:outlineLvl w:val="2"/>
        <w:rPr>
          <w:b w:val="0"/>
          <w:szCs w:val="24"/>
        </w:rPr>
      </w:pPr>
      <w:r w:rsidRPr="00BD3BFA">
        <w:rPr>
          <w:b w:val="0"/>
          <w:szCs w:val="24"/>
        </w:rPr>
        <w:lastRenderedPageBreak/>
        <w:t>уличные часы;</w:t>
      </w:r>
    </w:p>
    <w:p w:rsidR="00B46E4D" w:rsidRPr="00BD3BFA" w:rsidRDefault="00267427" w:rsidP="00B46E4D">
      <w:pPr>
        <w:pStyle w:val="ConsPlusTitle"/>
        <w:ind w:firstLine="851"/>
        <w:jc w:val="both"/>
        <w:outlineLvl w:val="2"/>
        <w:rPr>
          <w:b w:val="0"/>
          <w:szCs w:val="24"/>
        </w:rPr>
      </w:pPr>
      <w:r w:rsidRPr="00BD3BFA">
        <w:rPr>
          <w:b w:val="0"/>
          <w:szCs w:val="24"/>
        </w:rPr>
        <w:t>коммунально-бытовое оборудование (наземные блоки систем кондиционирования и вентиляции).</w:t>
      </w:r>
    </w:p>
    <w:p w:rsidR="005A61F0" w:rsidRPr="00BD3BFA" w:rsidRDefault="005A61F0" w:rsidP="00560B63">
      <w:pPr>
        <w:pStyle w:val="ConsPlusTitle"/>
        <w:ind w:firstLine="851"/>
        <w:jc w:val="both"/>
        <w:outlineLvl w:val="2"/>
        <w:rPr>
          <w:b w:val="0"/>
          <w:szCs w:val="24"/>
        </w:rPr>
      </w:pPr>
    </w:p>
    <w:p w:rsidR="00560B63" w:rsidRPr="00BD3BFA" w:rsidRDefault="00267427" w:rsidP="00560B63">
      <w:pPr>
        <w:pStyle w:val="ConsPlusTitle"/>
        <w:ind w:firstLine="851"/>
        <w:jc w:val="both"/>
        <w:outlineLvl w:val="2"/>
        <w:rPr>
          <w:szCs w:val="24"/>
        </w:rPr>
      </w:pPr>
      <w:r w:rsidRPr="00BD3BFA">
        <w:rPr>
          <w:szCs w:val="24"/>
        </w:rPr>
        <w:t>2. Управление застройки города</w:t>
      </w:r>
      <w:r w:rsidR="00560B63" w:rsidRPr="00BD3BFA">
        <w:rPr>
          <w:szCs w:val="24"/>
        </w:rPr>
        <w:t>:</w:t>
      </w:r>
    </w:p>
    <w:p w:rsidR="006D5456" w:rsidRPr="00BD3BFA" w:rsidRDefault="006D5456" w:rsidP="00560B63">
      <w:pPr>
        <w:pStyle w:val="ConsPlusTitle"/>
        <w:ind w:firstLine="851"/>
        <w:jc w:val="both"/>
        <w:outlineLvl w:val="2"/>
        <w:rPr>
          <w:b w:val="0"/>
          <w:szCs w:val="24"/>
        </w:rPr>
      </w:pPr>
    </w:p>
    <w:p w:rsidR="0031226B" w:rsidRPr="00710770" w:rsidRDefault="0031226B" w:rsidP="00560B63">
      <w:pPr>
        <w:pStyle w:val="ConsPlusTitle"/>
        <w:ind w:firstLine="851"/>
        <w:jc w:val="both"/>
        <w:outlineLvl w:val="2"/>
        <w:rPr>
          <w:b w:val="0"/>
          <w:szCs w:val="24"/>
        </w:rPr>
      </w:pPr>
      <w:r w:rsidRPr="00BD3BFA">
        <w:rPr>
          <w:b w:val="0"/>
          <w:szCs w:val="24"/>
        </w:rPr>
        <w:t>2.1.</w:t>
      </w:r>
      <w:r w:rsidR="00FC62E0" w:rsidRPr="00BD3BFA">
        <w:rPr>
          <w:b w:val="0"/>
          <w:szCs w:val="24"/>
        </w:rPr>
        <w:t xml:space="preserve"> </w:t>
      </w:r>
      <w:r w:rsidR="00FC62E0" w:rsidRPr="00850B1D">
        <w:rPr>
          <w:b w:val="0"/>
          <w:szCs w:val="24"/>
        </w:rPr>
        <w:t>Отдел</w:t>
      </w:r>
      <w:r w:rsidR="00727EB8" w:rsidRPr="00850B1D">
        <w:rPr>
          <w:b w:val="0"/>
          <w:szCs w:val="24"/>
        </w:rPr>
        <w:t xml:space="preserve"> землепользования и застройки районов</w:t>
      </w:r>
      <w:r w:rsidR="00FC62E0" w:rsidRPr="00850B1D">
        <w:rPr>
          <w:b w:val="0"/>
          <w:szCs w:val="24"/>
        </w:rPr>
        <w:t>:</w:t>
      </w:r>
    </w:p>
    <w:p w:rsidR="00560B63" w:rsidRPr="00BD3BFA" w:rsidRDefault="00F81CA4" w:rsidP="00560B63">
      <w:pPr>
        <w:pStyle w:val="ConsPlusTitle"/>
        <w:ind w:firstLine="851"/>
        <w:jc w:val="both"/>
        <w:outlineLvl w:val="2"/>
        <w:rPr>
          <w:b w:val="0"/>
          <w:szCs w:val="24"/>
        </w:rPr>
      </w:pPr>
      <w:r w:rsidRPr="00BD3BFA">
        <w:rPr>
          <w:b w:val="0"/>
          <w:szCs w:val="24"/>
        </w:rPr>
        <w:t>н</w:t>
      </w:r>
      <w:r w:rsidR="00267427" w:rsidRPr="00BD3BFA">
        <w:rPr>
          <w:b w:val="0"/>
          <w:szCs w:val="24"/>
        </w:rPr>
        <w:t>екапитальные нестационарные строения и сооружения:</w:t>
      </w:r>
    </w:p>
    <w:p w:rsidR="00560B63" w:rsidRPr="00BD3BFA" w:rsidRDefault="00267427" w:rsidP="00560B63">
      <w:pPr>
        <w:pStyle w:val="ConsPlusTitle"/>
        <w:ind w:firstLine="851"/>
        <w:jc w:val="both"/>
        <w:outlineLvl w:val="2"/>
        <w:rPr>
          <w:b w:val="0"/>
          <w:szCs w:val="24"/>
        </w:rPr>
      </w:pPr>
      <w:proofErr w:type="gramStart"/>
      <w:r w:rsidRPr="00BD3BFA">
        <w:rPr>
          <w:b w:val="0"/>
          <w:szCs w:val="24"/>
        </w:rPr>
        <w:t>гаражи-боксы, туалеты, навесы, беседки, объекты спортивного назначения, будки, объекты административного, технического назначения, объекты культурно-досугового назначения, объекты водно-спасательных станций</w:t>
      </w:r>
      <w:r w:rsidR="00BE7D64">
        <w:rPr>
          <w:rStyle w:val="ac"/>
          <w:b w:val="0"/>
          <w:szCs w:val="24"/>
        </w:rPr>
        <w:footnoteReference w:id="1"/>
      </w:r>
      <w:r w:rsidR="006B60C9" w:rsidRPr="00BD3BFA">
        <w:rPr>
          <w:b w:val="0"/>
          <w:szCs w:val="24"/>
        </w:rPr>
        <w:t>.</w:t>
      </w:r>
      <w:proofErr w:type="gramEnd"/>
    </w:p>
    <w:p w:rsidR="00560B63" w:rsidRPr="00BD3BFA" w:rsidRDefault="006B60C9" w:rsidP="00560B63">
      <w:pPr>
        <w:autoSpaceDE w:val="0"/>
        <w:autoSpaceDN w:val="0"/>
        <w:adjustRightInd w:val="0"/>
        <w:ind w:firstLine="851"/>
        <w:jc w:val="both"/>
      </w:pPr>
      <w:r w:rsidRPr="00BD3BFA">
        <w:t>Н</w:t>
      </w:r>
      <w:r w:rsidR="00267427" w:rsidRPr="00BD3BFA">
        <w:t>естационарные торговые объекты:</w:t>
      </w:r>
    </w:p>
    <w:p w:rsidR="00560B63" w:rsidRPr="00BD3BFA" w:rsidRDefault="00267427" w:rsidP="00560B63">
      <w:pPr>
        <w:autoSpaceDE w:val="0"/>
        <w:autoSpaceDN w:val="0"/>
        <w:adjustRightInd w:val="0"/>
        <w:ind w:firstLine="851"/>
        <w:jc w:val="both"/>
      </w:pPr>
      <w:r w:rsidRPr="00BD3BFA">
        <w:t>объекты в сфере мелкорозничной торговли: павильоны, киоски;</w:t>
      </w:r>
    </w:p>
    <w:p w:rsidR="00560B63" w:rsidRPr="00BD3BFA" w:rsidRDefault="00267427" w:rsidP="00560B63">
      <w:pPr>
        <w:autoSpaceDE w:val="0"/>
        <w:autoSpaceDN w:val="0"/>
        <w:adjustRightInd w:val="0"/>
        <w:ind w:firstLine="851"/>
        <w:jc w:val="both"/>
      </w:pPr>
      <w:r w:rsidRPr="00BD3BFA">
        <w:t>объекты в сфере общественного питания: павильоны, киоски, специализированные или специально оборудованные для организации общественного питания;</w:t>
      </w:r>
    </w:p>
    <w:p w:rsidR="00560B63" w:rsidRPr="00BD3BFA" w:rsidRDefault="00267427" w:rsidP="00560B63">
      <w:pPr>
        <w:autoSpaceDE w:val="0"/>
        <w:autoSpaceDN w:val="0"/>
        <w:adjustRightInd w:val="0"/>
        <w:ind w:firstLine="851"/>
        <w:jc w:val="both"/>
      </w:pPr>
      <w:r w:rsidRPr="00BD3BFA">
        <w:t>объекты в сфере бытового и иного сервисного обслуживания, за исключением автосервисного обслуживания: павильоны, киоски;</w:t>
      </w:r>
    </w:p>
    <w:p w:rsidR="00560B63" w:rsidRPr="00BD3BFA" w:rsidRDefault="00267427" w:rsidP="00560B63">
      <w:pPr>
        <w:autoSpaceDE w:val="0"/>
        <w:autoSpaceDN w:val="0"/>
        <w:adjustRightInd w:val="0"/>
        <w:ind w:firstLine="851"/>
        <w:jc w:val="both"/>
      </w:pPr>
      <w:r w:rsidRPr="00BD3BFA">
        <w:t>объекты, расположенные на автостоянках: павильоны;</w:t>
      </w:r>
    </w:p>
    <w:p w:rsidR="00560B63" w:rsidRPr="00BD3BFA" w:rsidRDefault="00267427" w:rsidP="00560B63">
      <w:pPr>
        <w:autoSpaceDE w:val="0"/>
        <w:autoSpaceDN w:val="0"/>
        <w:adjustRightInd w:val="0"/>
        <w:ind w:firstLine="851"/>
        <w:jc w:val="both"/>
      </w:pPr>
      <w:r w:rsidRPr="00BD3BFA">
        <w:t>объекты в сфере автосервисного обслуживания: павильоны;</w:t>
      </w:r>
    </w:p>
    <w:p w:rsidR="00560B63" w:rsidRPr="00BD3BFA" w:rsidRDefault="00267427" w:rsidP="00560B63">
      <w:pPr>
        <w:autoSpaceDE w:val="0"/>
        <w:autoSpaceDN w:val="0"/>
        <w:adjustRightInd w:val="0"/>
        <w:ind w:firstLine="851"/>
        <w:jc w:val="both"/>
      </w:pPr>
      <w:r w:rsidRPr="00BD3BFA">
        <w:t>объекты, обеспечивающие проведение ярмарок выходного дня, региональных, универсальных и специализированных ярма</w:t>
      </w:r>
      <w:r w:rsidR="0053149A" w:rsidRPr="00BD3BFA">
        <w:t>рок: павильоны, палатки, киоски</w:t>
      </w:r>
      <w:r w:rsidR="006B60C9" w:rsidRPr="00BD3BFA">
        <w:t>.</w:t>
      </w:r>
    </w:p>
    <w:p w:rsidR="00154563" w:rsidRPr="00BD3BFA" w:rsidRDefault="006B60C9" w:rsidP="00154563">
      <w:pPr>
        <w:autoSpaceDE w:val="0"/>
        <w:autoSpaceDN w:val="0"/>
        <w:adjustRightInd w:val="0"/>
        <w:ind w:firstLine="851"/>
        <w:jc w:val="both"/>
      </w:pPr>
      <w:r w:rsidRPr="00BD3BFA">
        <w:t>О</w:t>
      </w:r>
      <w:r w:rsidR="00267427" w:rsidRPr="00BD3BFA">
        <w:t>борудование:</w:t>
      </w:r>
    </w:p>
    <w:p w:rsidR="009B4853" w:rsidRPr="00BD3BFA" w:rsidRDefault="00267427" w:rsidP="009B4853">
      <w:pPr>
        <w:autoSpaceDE w:val="0"/>
        <w:autoSpaceDN w:val="0"/>
        <w:adjustRightInd w:val="0"/>
        <w:ind w:firstLine="851"/>
        <w:jc w:val="both"/>
      </w:pPr>
      <w:r w:rsidRPr="00BD3BFA">
        <w:t>оборудование водно-спасательных станций: вышки (высотой не более 15 м).</w:t>
      </w:r>
    </w:p>
    <w:p w:rsidR="009B4853" w:rsidRPr="00BD3BFA" w:rsidRDefault="009B4853" w:rsidP="009B4853">
      <w:pPr>
        <w:autoSpaceDE w:val="0"/>
        <w:autoSpaceDN w:val="0"/>
        <w:adjustRightInd w:val="0"/>
        <w:ind w:firstLine="851"/>
        <w:jc w:val="both"/>
      </w:pPr>
    </w:p>
    <w:p w:rsidR="009B4853" w:rsidRPr="00BD3BFA" w:rsidRDefault="00267427" w:rsidP="009B4853">
      <w:pPr>
        <w:autoSpaceDE w:val="0"/>
        <w:autoSpaceDN w:val="0"/>
        <w:adjustRightInd w:val="0"/>
        <w:ind w:firstLine="851"/>
        <w:jc w:val="both"/>
        <w:rPr>
          <w:b/>
        </w:rPr>
      </w:pPr>
      <w:r w:rsidRPr="00BD3BFA">
        <w:rPr>
          <w:b/>
        </w:rPr>
        <w:t>3. Управление ландшафтной архитектуры и монументального искусства</w:t>
      </w:r>
      <w:r w:rsidR="009B4853" w:rsidRPr="00BD3BFA">
        <w:rPr>
          <w:b/>
        </w:rPr>
        <w:t>:</w:t>
      </w:r>
    </w:p>
    <w:p w:rsidR="006D5456" w:rsidRPr="00BD3BFA" w:rsidRDefault="006D5456" w:rsidP="009B4853">
      <w:pPr>
        <w:autoSpaceDE w:val="0"/>
        <w:autoSpaceDN w:val="0"/>
        <w:adjustRightInd w:val="0"/>
        <w:ind w:firstLine="851"/>
        <w:jc w:val="both"/>
      </w:pPr>
    </w:p>
    <w:p w:rsidR="009B4853" w:rsidRPr="00BD3BFA" w:rsidRDefault="00267427" w:rsidP="009B4853">
      <w:pPr>
        <w:autoSpaceDE w:val="0"/>
        <w:autoSpaceDN w:val="0"/>
        <w:adjustRightInd w:val="0"/>
        <w:ind w:firstLine="851"/>
        <w:jc w:val="both"/>
      </w:pPr>
      <w:r w:rsidRPr="00BD3BFA">
        <w:t>3.1. Отдел городского ландшафта:</w:t>
      </w:r>
    </w:p>
    <w:p w:rsidR="009B4853" w:rsidRPr="00BD3BFA" w:rsidRDefault="009B4853" w:rsidP="009B4853">
      <w:pPr>
        <w:autoSpaceDE w:val="0"/>
        <w:autoSpaceDN w:val="0"/>
        <w:adjustRightInd w:val="0"/>
        <w:ind w:firstLine="851"/>
        <w:jc w:val="both"/>
      </w:pPr>
      <w:r w:rsidRPr="00BD3BFA">
        <w:t>у</w:t>
      </w:r>
      <w:r w:rsidR="00267427" w:rsidRPr="00BD3BFA">
        <w:t xml:space="preserve">стройства декоративные, технические, конструктивные: </w:t>
      </w:r>
    </w:p>
    <w:p w:rsidR="009B4853" w:rsidRPr="00BD3BFA" w:rsidRDefault="00267427" w:rsidP="009B4853">
      <w:pPr>
        <w:autoSpaceDE w:val="0"/>
        <w:autoSpaceDN w:val="0"/>
        <w:adjustRightInd w:val="0"/>
        <w:ind w:firstLine="851"/>
        <w:jc w:val="both"/>
      </w:pPr>
      <w:r w:rsidRPr="00BD3BFA">
        <w:t>водные устройства, включая фонтаны, фонтанные комплексы, питьевые фонтанчики, бюветы;</w:t>
      </w:r>
    </w:p>
    <w:p w:rsidR="009B4853" w:rsidRPr="00BD3BFA" w:rsidRDefault="00267427" w:rsidP="009B4853">
      <w:pPr>
        <w:autoSpaceDE w:val="0"/>
        <w:autoSpaceDN w:val="0"/>
        <w:adjustRightInd w:val="0"/>
        <w:ind w:firstLine="851"/>
        <w:jc w:val="both"/>
      </w:pPr>
      <w:r w:rsidRPr="00BD3BFA">
        <w:t>ограждения, включая ограждения декоративные, ограждения газонные, ограждения технические, разграничительные барьеры, шлагбаумы, парапеты, полусферы, надолбы, приствольные решетки, индивидуальные ограждающие конструкции парковочных мест, парковочные столбики;</w:t>
      </w:r>
    </w:p>
    <w:p w:rsidR="009B4853" w:rsidRPr="00BD3BFA" w:rsidRDefault="00267427" w:rsidP="009B4853">
      <w:pPr>
        <w:autoSpaceDE w:val="0"/>
        <w:autoSpaceDN w:val="0"/>
        <w:adjustRightInd w:val="0"/>
        <w:ind w:firstLine="851"/>
        <w:jc w:val="both"/>
      </w:pPr>
      <w:r w:rsidRPr="00BD3BFA">
        <w:t>покрытия, включая грунтовое покрытие, газонное покрытие, асфальтовое покрытие, мощение, полимерное покрытие, щебеночное покрытие, песчано-гравийное покрытие, плиточное покрытие;</w:t>
      </w:r>
    </w:p>
    <w:p w:rsidR="009B4853" w:rsidRPr="00BD3BFA" w:rsidRDefault="00267427" w:rsidP="009B4853">
      <w:pPr>
        <w:autoSpaceDE w:val="0"/>
        <w:autoSpaceDN w:val="0"/>
        <w:adjustRightInd w:val="0"/>
        <w:ind w:firstLine="851"/>
        <w:jc w:val="both"/>
      </w:pPr>
      <w:r w:rsidRPr="00BD3BFA">
        <w:t>устройства для вертикального озеленения и цветочного оформления, включая шпалеры, трельяжи, перголы, вазоны, цветочницы;</w:t>
      </w:r>
    </w:p>
    <w:p w:rsidR="009B4853" w:rsidRPr="00BD3BFA" w:rsidRDefault="00267427" w:rsidP="009B4853">
      <w:pPr>
        <w:autoSpaceDE w:val="0"/>
        <w:autoSpaceDN w:val="0"/>
        <w:adjustRightInd w:val="0"/>
        <w:ind w:firstLine="851"/>
        <w:jc w:val="both"/>
      </w:pPr>
      <w:r w:rsidRPr="00BD3BFA">
        <w:t>устройства наружного освещения и архитект</w:t>
      </w:r>
      <w:r w:rsidR="00632C73" w:rsidRPr="00BD3BFA">
        <w:t>урная подсветка (на территории)</w:t>
      </w:r>
      <w:r w:rsidR="002116DA" w:rsidRPr="00BD3BFA">
        <w:t>.</w:t>
      </w:r>
    </w:p>
    <w:p w:rsidR="009B4853" w:rsidRPr="00BD3BFA" w:rsidRDefault="002116DA" w:rsidP="009B4853">
      <w:pPr>
        <w:autoSpaceDE w:val="0"/>
        <w:autoSpaceDN w:val="0"/>
        <w:adjustRightInd w:val="0"/>
        <w:ind w:firstLine="851"/>
        <w:jc w:val="both"/>
      </w:pPr>
      <w:r w:rsidRPr="00BD3BFA">
        <w:lastRenderedPageBreak/>
        <w:t>П</w:t>
      </w:r>
      <w:r w:rsidR="00267427" w:rsidRPr="00BD3BFA">
        <w:t xml:space="preserve">ланировочное устройство, в том числе проезжая часть, велосипедная дорожка, сопряжения поверхностей (отмостка, бортовой камень, пандус, лестница, пешеходный мостик), озеленение (цветники, газоны, рядовые и групповые посадки), пешеходные коммуникации (тротуар, аллея, дорожка, тропинка), системы отвода поверхностных </w:t>
      </w:r>
      <w:r w:rsidR="00632C73" w:rsidRPr="00BD3BFA">
        <w:br/>
      </w:r>
      <w:r w:rsidR="00267427" w:rsidRPr="00BD3BFA">
        <w:t xml:space="preserve">и дренажных вод (за исключением </w:t>
      </w:r>
      <w:r w:rsidR="00632C73" w:rsidRPr="00BD3BFA">
        <w:t>объектов мелиоративной системы)</w:t>
      </w:r>
      <w:r w:rsidRPr="00BD3BFA">
        <w:t>.</w:t>
      </w:r>
    </w:p>
    <w:p w:rsidR="009B4853" w:rsidRPr="00BD3BFA" w:rsidRDefault="00267427" w:rsidP="009B4853">
      <w:pPr>
        <w:autoSpaceDE w:val="0"/>
        <w:autoSpaceDN w:val="0"/>
        <w:adjustRightInd w:val="0"/>
        <w:ind w:firstLine="851"/>
        <w:jc w:val="both"/>
      </w:pPr>
      <w:r w:rsidRPr="00BD3BFA">
        <w:t>Элементы озеленения, включая деревья, кустарники, травянистые растения, лианы, цветы.</w:t>
      </w:r>
    </w:p>
    <w:p w:rsidR="009B4853" w:rsidRPr="00BD3BFA" w:rsidRDefault="00267427" w:rsidP="009B4853">
      <w:pPr>
        <w:autoSpaceDE w:val="0"/>
        <w:autoSpaceDN w:val="0"/>
        <w:adjustRightInd w:val="0"/>
        <w:ind w:firstLine="851"/>
        <w:jc w:val="both"/>
      </w:pPr>
      <w:r w:rsidRPr="00BD3BFA">
        <w:t>Оборудование:</w:t>
      </w:r>
    </w:p>
    <w:p w:rsidR="009B4853" w:rsidRPr="00BD3BFA" w:rsidRDefault="00267427" w:rsidP="009B4853">
      <w:pPr>
        <w:autoSpaceDE w:val="0"/>
        <w:autoSpaceDN w:val="0"/>
        <w:adjustRightInd w:val="0"/>
        <w:ind w:firstLine="851"/>
        <w:jc w:val="both"/>
      </w:pPr>
      <w:r w:rsidRPr="00BD3BFA">
        <w:t>уличная мебель (включая скамьи, скамейки-качели, диваны, столы, качели, софы), уличные часы, почтовые ящики;</w:t>
      </w:r>
    </w:p>
    <w:p w:rsidR="009B4853" w:rsidRPr="00BD3BFA" w:rsidRDefault="00267427" w:rsidP="009B4853">
      <w:pPr>
        <w:autoSpaceDE w:val="0"/>
        <w:autoSpaceDN w:val="0"/>
        <w:adjustRightInd w:val="0"/>
        <w:ind w:firstLine="851"/>
        <w:jc w:val="both"/>
      </w:pPr>
      <w:r w:rsidRPr="00BD3BFA">
        <w:t>детское игровое оборудование (включая качели, горки, качалки, карусели, песочницы, детские игровые комплексы, городки, песочные дворики, теневые навесы, счеты, домики, лабиринты);</w:t>
      </w:r>
    </w:p>
    <w:p w:rsidR="009B4853" w:rsidRPr="00BD3BFA" w:rsidRDefault="00267427" w:rsidP="009B4853">
      <w:pPr>
        <w:autoSpaceDE w:val="0"/>
        <w:autoSpaceDN w:val="0"/>
        <w:adjustRightInd w:val="0"/>
        <w:ind w:firstLine="851"/>
        <w:jc w:val="both"/>
      </w:pPr>
      <w:r w:rsidRPr="00BD3BFA">
        <w:t>спортивное оборудование (включая бревна, канаты, перекладины, баскетбольные щиты, столы для настольного тенниса, тренажеры, турники, брусья, гимнастические стенки, гимнастические комплексы, скамьи с упором, спортивные трибуны, стенки для перелезания, детские спортивные комплексы, комплексы спортивного оборудования, спирали, руко</w:t>
      </w:r>
      <w:r w:rsidR="0077779B" w:rsidRPr="00BD3BFA">
        <w:t>ходы, лианы, сетки «Пирамида»</w:t>
      </w:r>
      <w:r w:rsidRPr="00BD3BFA">
        <w:t>, спортивные ворота, рампы, рельсы);</w:t>
      </w:r>
    </w:p>
    <w:p w:rsidR="009B4853" w:rsidRPr="00BD3BFA" w:rsidRDefault="00267427" w:rsidP="009B4853">
      <w:pPr>
        <w:autoSpaceDE w:val="0"/>
        <w:autoSpaceDN w:val="0"/>
        <w:adjustRightInd w:val="0"/>
        <w:ind w:firstLine="851"/>
        <w:jc w:val="both"/>
      </w:pPr>
      <w:r w:rsidRPr="00BD3BFA">
        <w:t>оборудование для выгула и дрессировки животных, урны для экскрементов животных;</w:t>
      </w:r>
    </w:p>
    <w:p w:rsidR="009B4853" w:rsidRPr="00BD3BFA" w:rsidRDefault="00267427" w:rsidP="009B4853">
      <w:pPr>
        <w:autoSpaceDE w:val="0"/>
        <w:autoSpaceDN w:val="0"/>
        <w:adjustRightInd w:val="0"/>
        <w:ind w:firstLine="851"/>
        <w:jc w:val="both"/>
      </w:pPr>
      <w:r w:rsidRPr="00BD3BFA">
        <w:t xml:space="preserve">пляжное оборудование (включая кабины для переодевания, зонтики, </w:t>
      </w:r>
      <w:r w:rsidR="00DD06C5" w:rsidRPr="00BD3BFA">
        <w:br/>
      </w:r>
      <w:r w:rsidRPr="00BD3BFA">
        <w:t>аэрарии, лежаки, стенды для размещения спасательного оборудования, пляжные административно-бытовые комплексы, душевые кабины, сигнальные мачты);</w:t>
      </w:r>
    </w:p>
    <w:p w:rsidR="009B4853" w:rsidRPr="00BD3BFA" w:rsidRDefault="00267427" w:rsidP="009B4853">
      <w:pPr>
        <w:autoSpaceDE w:val="0"/>
        <w:autoSpaceDN w:val="0"/>
        <w:adjustRightInd w:val="0"/>
        <w:ind w:firstLine="851"/>
        <w:jc w:val="both"/>
      </w:pPr>
      <w:r w:rsidRPr="00BD3BFA">
        <w:t>коммунально-бытовое оборудование (включая контейнеры, урны);</w:t>
      </w:r>
    </w:p>
    <w:p w:rsidR="009B4853" w:rsidRPr="00BD3BFA" w:rsidRDefault="00267427" w:rsidP="009B4853">
      <w:pPr>
        <w:autoSpaceDE w:val="0"/>
        <w:autoSpaceDN w:val="0"/>
        <w:adjustRightInd w:val="0"/>
        <w:ind w:firstLine="851"/>
        <w:jc w:val="both"/>
      </w:pPr>
      <w:r w:rsidRPr="00BD3BFA">
        <w:t>уличное оборудование (велопарковки).</w:t>
      </w:r>
    </w:p>
    <w:p w:rsidR="009B4853" w:rsidRPr="00BD3BFA" w:rsidRDefault="00267427" w:rsidP="009B4853">
      <w:pPr>
        <w:autoSpaceDE w:val="0"/>
        <w:autoSpaceDN w:val="0"/>
        <w:adjustRightInd w:val="0"/>
        <w:ind w:firstLine="851"/>
        <w:jc w:val="both"/>
      </w:pPr>
      <w:r w:rsidRPr="00BD3BFA">
        <w:t>Некапитальные нестационарные строения и сооружения:</w:t>
      </w:r>
    </w:p>
    <w:p w:rsidR="009B4853" w:rsidRPr="00BD3BFA" w:rsidRDefault="00267427" w:rsidP="009B4853">
      <w:pPr>
        <w:autoSpaceDE w:val="0"/>
        <w:autoSpaceDN w:val="0"/>
        <w:adjustRightInd w:val="0"/>
        <w:ind w:firstLine="851"/>
        <w:jc w:val="both"/>
      </w:pPr>
      <w:r w:rsidRPr="00BD3BFA">
        <w:t>нестационарные торговые объекты:</w:t>
      </w:r>
    </w:p>
    <w:p w:rsidR="009B4853" w:rsidRPr="00BD3BFA" w:rsidRDefault="00267427" w:rsidP="009B4853">
      <w:pPr>
        <w:autoSpaceDE w:val="0"/>
        <w:autoSpaceDN w:val="0"/>
        <w:adjustRightInd w:val="0"/>
        <w:ind w:firstLine="851"/>
        <w:jc w:val="both"/>
      </w:pPr>
      <w:r w:rsidRPr="00BD3BFA">
        <w:t>объекты сезонной торговли: сооружения в виде натяжных на сборном каркасе тентов для сезонной торговли, елочные и новогодние б</w:t>
      </w:r>
      <w:r w:rsidR="009B4853" w:rsidRPr="00BD3BFA">
        <w:t>азары, развалы бахчевых культур</w:t>
      </w:r>
      <w:r w:rsidRPr="00BD3BFA">
        <w:t>;</w:t>
      </w:r>
    </w:p>
    <w:p w:rsidR="009B4853" w:rsidRPr="00BD3BFA" w:rsidRDefault="00267427" w:rsidP="009B4853">
      <w:pPr>
        <w:autoSpaceDE w:val="0"/>
        <w:autoSpaceDN w:val="0"/>
        <w:adjustRightInd w:val="0"/>
        <w:ind w:firstLine="851"/>
        <w:jc w:val="both"/>
      </w:pPr>
      <w:r w:rsidRPr="00BD3BFA">
        <w:t>сезонные объекты общественного питания: временные сооружения, предназначенные для размещения сезонных объектов общественного питания, в том числе с выносными столиками, для размещения летних кафе;</w:t>
      </w:r>
    </w:p>
    <w:p w:rsidR="009B4853" w:rsidRPr="00BD3BFA" w:rsidRDefault="00267427" w:rsidP="009B4853">
      <w:pPr>
        <w:autoSpaceDE w:val="0"/>
        <w:autoSpaceDN w:val="0"/>
        <w:adjustRightInd w:val="0"/>
        <w:ind w:firstLine="851"/>
        <w:jc w:val="both"/>
      </w:pPr>
      <w:r w:rsidRPr="00BD3BFA">
        <w:t>объекты, используемые для реализации периодической печатной продукции: павильоны, киоски, газетные модули, информационно-торговые мобильные объекты;</w:t>
      </w:r>
    </w:p>
    <w:p w:rsidR="009B4853" w:rsidRPr="00BD3BFA" w:rsidRDefault="00267427" w:rsidP="009B4853">
      <w:pPr>
        <w:autoSpaceDE w:val="0"/>
        <w:autoSpaceDN w:val="0"/>
        <w:adjustRightInd w:val="0"/>
        <w:ind w:firstLine="851"/>
        <w:jc w:val="both"/>
      </w:pPr>
      <w:r w:rsidRPr="00BD3BFA">
        <w:t>объекты в сфере мелкорозничной торговли: палатки;</w:t>
      </w:r>
    </w:p>
    <w:p w:rsidR="009B4853" w:rsidRPr="00BD3BFA" w:rsidRDefault="00267427" w:rsidP="009B4853">
      <w:pPr>
        <w:autoSpaceDE w:val="0"/>
        <w:autoSpaceDN w:val="0"/>
        <w:adjustRightInd w:val="0"/>
        <w:ind w:firstLine="851"/>
        <w:jc w:val="both"/>
      </w:pPr>
      <w:r w:rsidRPr="00BD3BFA">
        <w:t>объекты в сфере общественного питания: палатки;</w:t>
      </w:r>
    </w:p>
    <w:p w:rsidR="009B4853" w:rsidRPr="00BD3BFA" w:rsidRDefault="00267427" w:rsidP="009B4853">
      <w:pPr>
        <w:autoSpaceDE w:val="0"/>
        <w:autoSpaceDN w:val="0"/>
        <w:adjustRightInd w:val="0"/>
        <w:ind w:firstLine="851"/>
        <w:jc w:val="both"/>
      </w:pPr>
      <w:r w:rsidRPr="00BD3BFA">
        <w:t>объекты в сфере бытового и иного сервисного обслуживания, за исключением автосервисного обслуживания: палатки.</w:t>
      </w:r>
    </w:p>
    <w:p w:rsidR="009B4853" w:rsidRPr="00BD3BFA" w:rsidRDefault="00267427" w:rsidP="009B4853">
      <w:pPr>
        <w:autoSpaceDE w:val="0"/>
        <w:autoSpaceDN w:val="0"/>
        <w:adjustRightInd w:val="0"/>
        <w:ind w:firstLine="851"/>
        <w:jc w:val="both"/>
      </w:pPr>
      <w:r w:rsidRPr="00BD3BFA">
        <w:t>3.2. Отдел монументального искусства:</w:t>
      </w:r>
    </w:p>
    <w:p w:rsidR="009B4853" w:rsidRPr="00BD3BFA" w:rsidRDefault="00267427" w:rsidP="009B4853">
      <w:pPr>
        <w:autoSpaceDE w:val="0"/>
        <w:autoSpaceDN w:val="0"/>
        <w:adjustRightInd w:val="0"/>
        <w:ind w:firstLine="851"/>
        <w:jc w:val="both"/>
      </w:pPr>
      <w:r w:rsidRPr="00BD3BFA">
        <w:t>устройства декоративные, технические, конструктивные</w:t>
      </w:r>
      <w:r w:rsidR="009B4853" w:rsidRPr="00BD3BFA">
        <w:t>:</w:t>
      </w:r>
    </w:p>
    <w:p w:rsidR="009B4853" w:rsidRPr="00BD3BFA" w:rsidRDefault="00267427" w:rsidP="009B4853">
      <w:pPr>
        <w:autoSpaceDE w:val="0"/>
        <w:autoSpaceDN w:val="0"/>
        <w:adjustRightInd w:val="0"/>
        <w:ind w:firstLine="851"/>
        <w:jc w:val="both"/>
      </w:pPr>
      <w:r w:rsidRPr="00BD3BFA">
        <w:t>произведения монументального искусства: бюсты, триумфальные арки, триумфальные колонны, городские скульптуры, не связанные с увековечиванием памяти (не носят мемориального характера), статуи, рисунки, росписи, мозаики;</w:t>
      </w:r>
    </w:p>
    <w:p w:rsidR="00267427" w:rsidRPr="00BD3BFA" w:rsidRDefault="00267427" w:rsidP="009B4853">
      <w:pPr>
        <w:autoSpaceDE w:val="0"/>
        <w:autoSpaceDN w:val="0"/>
        <w:adjustRightInd w:val="0"/>
        <w:ind w:firstLine="851"/>
        <w:jc w:val="both"/>
      </w:pPr>
      <w:r w:rsidRPr="00BD3BFA">
        <w:t xml:space="preserve">элементы оформления, включая элементы оформления Санкт-Петербурга </w:t>
      </w:r>
      <w:r w:rsidR="002116DA" w:rsidRPr="00BD3BFA">
        <w:br/>
      </w:r>
      <w:r w:rsidRPr="00BD3BFA">
        <w:t>к мероприятиям, в том числе культурно-массовым мероприятиям, городского, всероссийского и международного значения: рисунки, иное.</w:t>
      </w:r>
    </w:p>
    <w:p w:rsidR="00267427" w:rsidRPr="0049360F" w:rsidRDefault="00267427" w:rsidP="00267427">
      <w:pPr>
        <w:pStyle w:val="ConsPlusNormal"/>
        <w:rPr>
          <w:rFonts w:ascii="Times New Roman" w:hAnsi="Times New Roman" w:cs="Times New Roman"/>
          <w:sz w:val="24"/>
          <w:szCs w:val="24"/>
        </w:rPr>
      </w:pPr>
    </w:p>
    <w:p w:rsidR="00267427" w:rsidRPr="0049360F" w:rsidRDefault="00267427" w:rsidP="00267427"/>
    <w:sectPr w:rsidR="00267427" w:rsidRPr="0049360F" w:rsidSect="00450B2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F00" w:rsidRDefault="00EF7F00" w:rsidP="00CE7203">
      <w:r>
        <w:separator/>
      </w:r>
    </w:p>
  </w:endnote>
  <w:endnote w:type="continuationSeparator" w:id="0">
    <w:p w:rsidR="00EF7F00" w:rsidRDefault="00EF7F00" w:rsidP="00CE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F00" w:rsidRDefault="00EF7F00" w:rsidP="00CE7203">
      <w:r>
        <w:separator/>
      </w:r>
    </w:p>
  </w:footnote>
  <w:footnote w:type="continuationSeparator" w:id="0">
    <w:p w:rsidR="00EF7F00" w:rsidRDefault="00EF7F00" w:rsidP="00CE7203">
      <w:r>
        <w:continuationSeparator/>
      </w:r>
    </w:p>
  </w:footnote>
  <w:footnote w:id="1">
    <w:p w:rsidR="00AD218F" w:rsidRPr="00AD218F" w:rsidRDefault="00BE7D64" w:rsidP="00AD218F">
      <w:pPr>
        <w:ind w:firstLine="851"/>
        <w:jc w:val="both"/>
        <w:rPr>
          <w:sz w:val="20"/>
          <w:szCs w:val="20"/>
        </w:rPr>
      </w:pPr>
      <w:r w:rsidRPr="00850B1D">
        <w:rPr>
          <w:rStyle w:val="ac"/>
        </w:rPr>
        <w:footnoteRef/>
      </w:r>
      <w:r w:rsidRPr="00850B1D">
        <w:t xml:space="preserve"> </w:t>
      </w:r>
      <w:r w:rsidR="00AD218F" w:rsidRPr="00AD218F">
        <w:rPr>
          <w:sz w:val="20"/>
          <w:szCs w:val="20"/>
        </w:rPr>
        <w:t xml:space="preserve">В случае поступления заявления на выдачу задания на разработку проекта благоустройства элементов благоустройства в границах зеленых насаждений общего пользования, пляжей, территорий </w:t>
      </w:r>
      <w:r w:rsidR="00716153">
        <w:rPr>
          <w:sz w:val="20"/>
          <w:szCs w:val="20"/>
        </w:rPr>
        <w:br/>
      </w:r>
      <w:r w:rsidR="00AD218F" w:rsidRPr="00AD218F">
        <w:rPr>
          <w:sz w:val="20"/>
          <w:szCs w:val="20"/>
        </w:rPr>
        <w:t>и земельных участков проекта «Комфортная городская среда», в соответствии с которым планируется, в том числе размещение туалетов, навесов, беседок, ответственным структурным подразделением является Управление ландшафтной архитектуры и монументального искусства. При поступлении указанных заявлений в Управление застройки города срок их направления посредством ЕСЭДД в Управление ландшафтной архитекту</w:t>
      </w:r>
      <w:r w:rsidR="00AD218F">
        <w:rPr>
          <w:sz w:val="20"/>
          <w:szCs w:val="20"/>
        </w:rPr>
        <w:t xml:space="preserve">ры и монументального искусства </w:t>
      </w:r>
      <w:r w:rsidR="00AD218F" w:rsidRPr="00AD218F">
        <w:rPr>
          <w:sz w:val="20"/>
          <w:szCs w:val="20"/>
        </w:rPr>
        <w:t>не может превышать 1 рабочий день. В случае нарушения указанного срока ответственным структурным подразделением является Управление застройки города.</w:t>
      </w:r>
    </w:p>
    <w:p w:rsidR="00BE7D64" w:rsidRPr="00BE7D64" w:rsidRDefault="00BE7D64" w:rsidP="00BE7D64">
      <w:pPr>
        <w:pStyle w:val="aa"/>
        <w:ind w:firstLine="851"/>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126102"/>
      <w:docPartObj>
        <w:docPartGallery w:val="Page Numbers (Top of Page)"/>
        <w:docPartUnique/>
      </w:docPartObj>
    </w:sdtPr>
    <w:sdtEndPr/>
    <w:sdtContent>
      <w:p w:rsidR="00450B2C" w:rsidRDefault="00450B2C">
        <w:pPr>
          <w:pStyle w:val="a3"/>
          <w:jc w:val="center"/>
        </w:pPr>
        <w:r>
          <w:fldChar w:fldCharType="begin"/>
        </w:r>
        <w:r>
          <w:instrText>PAGE   \* MERGEFORMAT</w:instrText>
        </w:r>
        <w:r>
          <w:fldChar w:fldCharType="separate"/>
        </w:r>
        <w:r w:rsidR="00710770">
          <w:rPr>
            <w:noProof/>
          </w:rPr>
          <w:t>3</w:t>
        </w:r>
        <w:r>
          <w:fldChar w:fldCharType="end"/>
        </w:r>
      </w:p>
    </w:sdtContent>
  </w:sdt>
  <w:p w:rsidR="00450B2C" w:rsidRDefault="00450B2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D356C"/>
    <w:multiLevelType w:val="hybridMultilevel"/>
    <w:tmpl w:val="27343F2A"/>
    <w:lvl w:ilvl="0" w:tplc="59268984">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D7"/>
    <w:rsid w:val="000A4F0C"/>
    <w:rsid w:val="000B3F7F"/>
    <w:rsid w:val="000B608B"/>
    <w:rsid w:val="000D7DD2"/>
    <w:rsid w:val="001233A4"/>
    <w:rsid w:val="0013388E"/>
    <w:rsid w:val="00154563"/>
    <w:rsid w:val="0017662B"/>
    <w:rsid w:val="001B5ACC"/>
    <w:rsid w:val="001D2BC0"/>
    <w:rsid w:val="002116DA"/>
    <w:rsid w:val="00220EF0"/>
    <w:rsid w:val="00222A3A"/>
    <w:rsid w:val="00224B21"/>
    <w:rsid w:val="00267427"/>
    <w:rsid w:val="00275BCF"/>
    <w:rsid w:val="0028062A"/>
    <w:rsid w:val="002A1EB6"/>
    <w:rsid w:val="002E46A0"/>
    <w:rsid w:val="00301637"/>
    <w:rsid w:val="0030176C"/>
    <w:rsid w:val="003121EC"/>
    <w:rsid w:val="0031226B"/>
    <w:rsid w:val="0031699D"/>
    <w:rsid w:val="0032304F"/>
    <w:rsid w:val="003278D0"/>
    <w:rsid w:val="0039499E"/>
    <w:rsid w:val="003A4093"/>
    <w:rsid w:val="003A7236"/>
    <w:rsid w:val="003B7319"/>
    <w:rsid w:val="003C401D"/>
    <w:rsid w:val="003E79C0"/>
    <w:rsid w:val="00403672"/>
    <w:rsid w:val="00411D64"/>
    <w:rsid w:val="00431DE2"/>
    <w:rsid w:val="0043254C"/>
    <w:rsid w:val="00450B2C"/>
    <w:rsid w:val="004565D4"/>
    <w:rsid w:val="0049360F"/>
    <w:rsid w:val="00494BF0"/>
    <w:rsid w:val="004C0BFA"/>
    <w:rsid w:val="004C341F"/>
    <w:rsid w:val="004E728D"/>
    <w:rsid w:val="00510E8C"/>
    <w:rsid w:val="005129B7"/>
    <w:rsid w:val="0053149A"/>
    <w:rsid w:val="00533F6B"/>
    <w:rsid w:val="00560B63"/>
    <w:rsid w:val="005A61F0"/>
    <w:rsid w:val="005C6BFB"/>
    <w:rsid w:val="005F1287"/>
    <w:rsid w:val="005F7340"/>
    <w:rsid w:val="00606EDE"/>
    <w:rsid w:val="00632C73"/>
    <w:rsid w:val="00634DEF"/>
    <w:rsid w:val="0063636C"/>
    <w:rsid w:val="00643830"/>
    <w:rsid w:val="00657C25"/>
    <w:rsid w:val="0066380C"/>
    <w:rsid w:val="00672271"/>
    <w:rsid w:val="006A65BC"/>
    <w:rsid w:val="006B60C9"/>
    <w:rsid w:val="006C552E"/>
    <w:rsid w:val="006D5456"/>
    <w:rsid w:val="006E3220"/>
    <w:rsid w:val="0070663F"/>
    <w:rsid w:val="00710770"/>
    <w:rsid w:val="00716153"/>
    <w:rsid w:val="00727EB8"/>
    <w:rsid w:val="00775113"/>
    <w:rsid w:val="0077674F"/>
    <w:rsid w:val="0077779B"/>
    <w:rsid w:val="007A2B2F"/>
    <w:rsid w:val="007D3D76"/>
    <w:rsid w:val="00850B1D"/>
    <w:rsid w:val="00883447"/>
    <w:rsid w:val="008917F5"/>
    <w:rsid w:val="00894ECC"/>
    <w:rsid w:val="008A4D86"/>
    <w:rsid w:val="00917A14"/>
    <w:rsid w:val="0092250D"/>
    <w:rsid w:val="00935732"/>
    <w:rsid w:val="00940CCC"/>
    <w:rsid w:val="00944B0A"/>
    <w:rsid w:val="0094783C"/>
    <w:rsid w:val="00983E4E"/>
    <w:rsid w:val="00995D62"/>
    <w:rsid w:val="00997496"/>
    <w:rsid w:val="009B4853"/>
    <w:rsid w:val="009D6141"/>
    <w:rsid w:val="00A44B8B"/>
    <w:rsid w:val="00A777FE"/>
    <w:rsid w:val="00A949C9"/>
    <w:rsid w:val="00AA3833"/>
    <w:rsid w:val="00AD218F"/>
    <w:rsid w:val="00AF4EFC"/>
    <w:rsid w:val="00AF7F9B"/>
    <w:rsid w:val="00B15090"/>
    <w:rsid w:val="00B46E4D"/>
    <w:rsid w:val="00B51531"/>
    <w:rsid w:val="00B60E54"/>
    <w:rsid w:val="00B87338"/>
    <w:rsid w:val="00BA0A20"/>
    <w:rsid w:val="00BA384D"/>
    <w:rsid w:val="00BD3BFA"/>
    <w:rsid w:val="00BE7D64"/>
    <w:rsid w:val="00C16D53"/>
    <w:rsid w:val="00C2707B"/>
    <w:rsid w:val="00C542FF"/>
    <w:rsid w:val="00C73FD7"/>
    <w:rsid w:val="00CE7203"/>
    <w:rsid w:val="00D2520B"/>
    <w:rsid w:val="00D64F5A"/>
    <w:rsid w:val="00D76F84"/>
    <w:rsid w:val="00DA4D37"/>
    <w:rsid w:val="00DD06C5"/>
    <w:rsid w:val="00DD71D8"/>
    <w:rsid w:val="00E30E04"/>
    <w:rsid w:val="00E31BEE"/>
    <w:rsid w:val="00E44716"/>
    <w:rsid w:val="00E53899"/>
    <w:rsid w:val="00E5721A"/>
    <w:rsid w:val="00E91E13"/>
    <w:rsid w:val="00ED1D04"/>
    <w:rsid w:val="00ED76F6"/>
    <w:rsid w:val="00EE5270"/>
    <w:rsid w:val="00EF4A25"/>
    <w:rsid w:val="00EF7F00"/>
    <w:rsid w:val="00F3170F"/>
    <w:rsid w:val="00F6250F"/>
    <w:rsid w:val="00F81CA4"/>
    <w:rsid w:val="00F9251A"/>
    <w:rsid w:val="00FA67D8"/>
    <w:rsid w:val="00FC62E0"/>
    <w:rsid w:val="00FD7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384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7203"/>
    <w:pPr>
      <w:tabs>
        <w:tab w:val="center" w:pos="4677"/>
        <w:tab w:val="right" w:pos="9355"/>
      </w:tabs>
    </w:pPr>
  </w:style>
  <w:style w:type="character" w:customStyle="1" w:styleId="a4">
    <w:name w:val="Верхний колонтитул Знак"/>
    <w:basedOn w:val="a0"/>
    <w:link w:val="a3"/>
    <w:uiPriority w:val="99"/>
    <w:rsid w:val="00CE7203"/>
    <w:rPr>
      <w:sz w:val="24"/>
      <w:szCs w:val="24"/>
    </w:rPr>
  </w:style>
  <w:style w:type="paragraph" w:styleId="a5">
    <w:name w:val="footer"/>
    <w:basedOn w:val="a"/>
    <w:link w:val="a6"/>
    <w:rsid w:val="00CE7203"/>
    <w:pPr>
      <w:tabs>
        <w:tab w:val="center" w:pos="4677"/>
        <w:tab w:val="right" w:pos="9355"/>
      </w:tabs>
    </w:pPr>
  </w:style>
  <w:style w:type="character" w:customStyle="1" w:styleId="a6">
    <w:name w:val="Нижний колонтитул Знак"/>
    <w:basedOn w:val="a0"/>
    <w:link w:val="a5"/>
    <w:rsid w:val="00CE7203"/>
    <w:rPr>
      <w:sz w:val="24"/>
      <w:szCs w:val="24"/>
    </w:rPr>
  </w:style>
  <w:style w:type="paragraph" w:customStyle="1" w:styleId="ConsPlusNormal">
    <w:name w:val="ConsPlusNormal"/>
    <w:rsid w:val="00C73FD7"/>
    <w:pPr>
      <w:autoSpaceDE w:val="0"/>
      <w:autoSpaceDN w:val="0"/>
      <w:adjustRightInd w:val="0"/>
      <w:ind w:firstLine="720"/>
    </w:pPr>
    <w:rPr>
      <w:rFonts w:ascii="Arial" w:hAnsi="Arial" w:cs="Arial"/>
    </w:rPr>
  </w:style>
  <w:style w:type="paragraph" w:customStyle="1" w:styleId="ConsPlusNonformat">
    <w:name w:val="ConsPlusNonformat"/>
    <w:rsid w:val="00C73FD7"/>
    <w:pPr>
      <w:autoSpaceDE w:val="0"/>
      <w:autoSpaceDN w:val="0"/>
      <w:adjustRightInd w:val="0"/>
    </w:pPr>
    <w:rPr>
      <w:rFonts w:ascii="Courier New" w:hAnsi="Courier New" w:cs="Courier New"/>
    </w:rPr>
  </w:style>
  <w:style w:type="table" w:styleId="a7">
    <w:name w:val="Table Grid"/>
    <w:basedOn w:val="a1"/>
    <w:rsid w:val="00AA3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63636C"/>
    <w:rPr>
      <w:rFonts w:ascii="Tahoma" w:hAnsi="Tahoma" w:cs="Tahoma"/>
      <w:sz w:val="16"/>
      <w:szCs w:val="16"/>
    </w:rPr>
  </w:style>
  <w:style w:type="character" w:customStyle="1" w:styleId="a9">
    <w:name w:val="Текст выноски Знак"/>
    <w:basedOn w:val="a0"/>
    <w:link w:val="a8"/>
    <w:rsid w:val="0063636C"/>
    <w:rPr>
      <w:rFonts w:ascii="Tahoma" w:hAnsi="Tahoma" w:cs="Tahoma"/>
      <w:sz w:val="16"/>
      <w:szCs w:val="16"/>
    </w:rPr>
  </w:style>
  <w:style w:type="paragraph" w:styleId="aa">
    <w:name w:val="footnote text"/>
    <w:basedOn w:val="a"/>
    <w:link w:val="ab"/>
    <w:uiPriority w:val="99"/>
    <w:rsid w:val="00BA384D"/>
    <w:rPr>
      <w:sz w:val="20"/>
      <w:szCs w:val="20"/>
    </w:rPr>
  </w:style>
  <w:style w:type="character" w:customStyle="1" w:styleId="ab">
    <w:name w:val="Текст сноски Знак"/>
    <w:basedOn w:val="a0"/>
    <w:link w:val="aa"/>
    <w:uiPriority w:val="99"/>
    <w:rsid w:val="00BA384D"/>
  </w:style>
  <w:style w:type="character" w:styleId="ac">
    <w:name w:val="footnote reference"/>
    <w:uiPriority w:val="99"/>
    <w:rsid w:val="00BA384D"/>
    <w:rPr>
      <w:vertAlign w:val="superscript"/>
    </w:rPr>
  </w:style>
  <w:style w:type="paragraph" w:styleId="ad">
    <w:name w:val="List Paragraph"/>
    <w:basedOn w:val="a"/>
    <w:link w:val="ae"/>
    <w:uiPriority w:val="34"/>
    <w:qFormat/>
    <w:rsid w:val="00BA384D"/>
    <w:pPr>
      <w:spacing w:after="200" w:line="276" w:lineRule="auto"/>
      <w:ind w:left="720"/>
      <w:contextualSpacing/>
    </w:pPr>
    <w:rPr>
      <w:rFonts w:ascii="Calibri" w:hAnsi="Calibri"/>
      <w:sz w:val="22"/>
      <w:szCs w:val="22"/>
    </w:rPr>
  </w:style>
  <w:style w:type="character" w:customStyle="1" w:styleId="ae">
    <w:name w:val="Абзац списка Знак"/>
    <w:link w:val="ad"/>
    <w:uiPriority w:val="34"/>
    <w:rsid w:val="00BA384D"/>
    <w:rPr>
      <w:rFonts w:ascii="Calibri" w:hAnsi="Calibri"/>
      <w:sz w:val="22"/>
      <w:szCs w:val="22"/>
    </w:rPr>
  </w:style>
  <w:style w:type="paragraph" w:customStyle="1" w:styleId="ConsPlusTitle">
    <w:name w:val="ConsPlusTitle"/>
    <w:rsid w:val="00267427"/>
    <w:pPr>
      <w:widowControl w:val="0"/>
      <w:autoSpaceDE w:val="0"/>
      <w:autoSpaceDN w:val="0"/>
    </w:pPr>
    <w:rPr>
      <w:rFonts w:eastAsiaTheme="minorEastAsia"/>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384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7203"/>
    <w:pPr>
      <w:tabs>
        <w:tab w:val="center" w:pos="4677"/>
        <w:tab w:val="right" w:pos="9355"/>
      </w:tabs>
    </w:pPr>
  </w:style>
  <w:style w:type="character" w:customStyle="1" w:styleId="a4">
    <w:name w:val="Верхний колонтитул Знак"/>
    <w:basedOn w:val="a0"/>
    <w:link w:val="a3"/>
    <w:uiPriority w:val="99"/>
    <w:rsid w:val="00CE7203"/>
    <w:rPr>
      <w:sz w:val="24"/>
      <w:szCs w:val="24"/>
    </w:rPr>
  </w:style>
  <w:style w:type="paragraph" w:styleId="a5">
    <w:name w:val="footer"/>
    <w:basedOn w:val="a"/>
    <w:link w:val="a6"/>
    <w:rsid w:val="00CE7203"/>
    <w:pPr>
      <w:tabs>
        <w:tab w:val="center" w:pos="4677"/>
        <w:tab w:val="right" w:pos="9355"/>
      </w:tabs>
    </w:pPr>
  </w:style>
  <w:style w:type="character" w:customStyle="1" w:styleId="a6">
    <w:name w:val="Нижний колонтитул Знак"/>
    <w:basedOn w:val="a0"/>
    <w:link w:val="a5"/>
    <w:rsid w:val="00CE7203"/>
    <w:rPr>
      <w:sz w:val="24"/>
      <w:szCs w:val="24"/>
    </w:rPr>
  </w:style>
  <w:style w:type="paragraph" w:customStyle="1" w:styleId="ConsPlusNormal">
    <w:name w:val="ConsPlusNormal"/>
    <w:rsid w:val="00C73FD7"/>
    <w:pPr>
      <w:autoSpaceDE w:val="0"/>
      <w:autoSpaceDN w:val="0"/>
      <w:adjustRightInd w:val="0"/>
      <w:ind w:firstLine="720"/>
    </w:pPr>
    <w:rPr>
      <w:rFonts w:ascii="Arial" w:hAnsi="Arial" w:cs="Arial"/>
    </w:rPr>
  </w:style>
  <w:style w:type="paragraph" w:customStyle="1" w:styleId="ConsPlusNonformat">
    <w:name w:val="ConsPlusNonformat"/>
    <w:rsid w:val="00C73FD7"/>
    <w:pPr>
      <w:autoSpaceDE w:val="0"/>
      <w:autoSpaceDN w:val="0"/>
      <w:adjustRightInd w:val="0"/>
    </w:pPr>
    <w:rPr>
      <w:rFonts w:ascii="Courier New" w:hAnsi="Courier New" w:cs="Courier New"/>
    </w:rPr>
  </w:style>
  <w:style w:type="table" w:styleId="a7">
    <w:name w:val="Table Grid"/>
    <w:basedOn w:val="a1"/>
    <w:rsid w:val="00AA3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63636C"/>
    <w:rPr>
      <w:rFonts w:ascii="Tahoma" w:hAnsi="Tahoma" w:cs="Tahoma"/>
      <w:sz w:val="16"/>
      <w:szCs w:val="16"/>
    </w:rPr>
  </w:style>
  <w:style w:type="character" w:customStyle="1" w:styleId="a9">
    <w:name w:val="Текст выноски Знак"/>
    <w:basedOn w:val="a0"/>
    <w:link w:val="a8"/>
    <w:rsid w:val="0063636C"/>
    <w:rPr>
      <w:rFonts w:ascii="Tahoma" w:hAnsi="Tahoma" w:cs="Tahoma"/>
      <w:sz w:val="16"/>
      <w:szCs w:val="16"/>
    </w:rPr>
  </w:style>
  <w:style w:type="paragraph" w:styleId="aa">
    <w:name w:val="footnote text"/>
    <w:basedOn w:val="a"/>
    <w:link w:val="ab"/>
    <w:uiPriority w:val="99"/>
    <w:rsid w:val="00BA384D"/>
    <w:rPr>
      <w:sz w:val="20"/>
      <w:szCs w:val="20"/>
    </w:rPr>
  </w:style>
  <w:style w:type="character" w:customStyle="1" w:styleId="ab">
    <w:name w:val="Текст сноски Знак"/>
    <w:basedOn w:val="a0"/>
    <w:link w:val="aa"/>
    <w:uiPriority w:val="99"/>
    <w:rsid w:val="00BA384D"/>
  </w:style>
  <w:style w:type="character" w:styleId="ac">
    <w:name w:val="footnote reference"/>
    <w:uiPriority w:val="99"/>
    <w:rsid w:val="00BA384D"/>
    <w:rPr>
      <w:vertAlign w:val="superscript"/>
    </w:rPr>
  </w:style>
  <w:style w:type="paragraph" w:styleId="ad">
    <w:name w:val="List Paragraph"/>
    <w:basedOn w:val="a"/>
    <w:link w:val="ae"/>
    <w:uiPriority w:val="34"/>
    <w:qFormat/>
    <w:rsid w:val="00BA384D"/>
    <w:pPr>
      <w:spacing w:after="200" w:line="276" w:lineRule="auto"/>
      <w:ind w:left="720"/>
      <w:contextualSpacing/>
    </w:pPr>
    <w:rPr>
      <w:rFonts w:ascii="Calibri" w:hAnsi="Calibri"/>
      <w:sz w:val="22"/>
      <w:szCs w:val="22"/>
    </w:rPr>
  </w:style>
  <w:style w:type="character" w:customStyle="1" w:styleId="ae">
    <w:name w:val="Абзац списка Знак"/>
    <w:link w:val="ad"/>
    <w:uiPriority w:val="34"/>
    <w:rsid w:val="00BA384D"/>
    <w:rPr>
      <w:rFonts w:ascii="Calibri" w:hAnsi="Calibri"/>
      <w:sz w:val="22"/>
      <w:szCs w:val="22"/>
    </w:rPr>
  </w:style>
  <w:style w:type="paragraph" w:customStyle="1" w:styleId="ConsPlusTitle">
    <w:name w:val="ConsPlusTitle"/>
    <w:rsid w:val="00267427"/>
    <w:pPr>
      <w:widowControl w:val="0"/>
      <w:autoSpaceDE w:val="0"/>
      <w:autoSpaceDN w:val="0"/>
    </w:pPr>
    <w:rPr>
      <w:rFonts w:eastAsiaTheme="minorEastAsia"/>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616D-AD6E-4670-8CCA-B068CDFC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6847</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КГА</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Хорошайлова Марина Андреевна</dc:creator>
  <cp:lastModifiedBy>Хорошайлова Марина Андреевна</cp:lastModifiedBy>
  <cp:revision>2</cp:revision>
  <cp:lastPrinted>2017-08-08T15:39:00Z</cp:lastPrinted>
  <dcterms:created xsi:type="dcterms:W3CDTF">2023-06-27T10:52:00Z</dcterms:created>
  <dcterms:modified xsi:type="dcterms:W3CDTF">2023-06-27T10:52:00Z</dcterms:modified>
</cp:coreProperties>
</file>