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0D1" w:rsidRPr="000E066E" w:rsidRDefault="002050D1" w:rsidP="002050D1">
      <w:pPr>
        <w:pStyle w:val="ConsPlusNormal"/>
        <w:jc w:val="right"/>
        <w:outlineLvl w:val="0"/>
        <w:rPr>
          <w:szCs w:val="24"/>
        </w:rPr>
      </w:pPr>
      <w:bookmarkStart w:id="0" w:name="_GoBack"/>
      <w:bookmarkEnd w:id="0"/>
      <w:r w:rsidRPr="000E066E">
        <w:rPr>
          <w:szCs w:val="24"/>
        </w:rPr>
        <w:t>ПРИЛОЖЕНИЕ</w:t>
      </w:r>
    </w:p>
    <w:p w:rsidR="002050D1" w:rsidRPr="000E066E" w:rsidRDefault="002050D1" w:rsidP="002050D1">
      <w:pPr>
        <w:pStyle w:val="ConsPlusNormal"/>
        <w:jc w:val="right"/>
        <w:rPr>
          <w:szCs w:val="24"/>
        </w:rPr>
      </w:pPr>
      <w:r w:rsidRPr="000E066E">
        <w:rPr>
          <w:szCs w:val="24"/>
        </w:rPr>
        <w:t>к постановлению</w:t>
      </w:r>
    </w:p>
    <w:p w:rsidR="002050D1" w:rsidRPr="000E066E" w:rsidRDefault="002050D1" w:rsidP="002050D1">
      <w:pPr>
        <w:pStyle w:val="ConsPlusNormal"/>
        <w:jc w:val="right"/>
        <w:rPr>
          <w:szCs w:val="24"/>
        </w:rPr>
      </w:pPr>
      <w:r w:rsidRPr="000E066E">
        <w:rPr>
          <w:szCs w:val="24"/>
        </w:rPr>
        <w:t>Правительства Санкт-Петербурга</w:t>
      </w:r>
    </w:p>
    <w:p w:rsidR="002050D1" w:rsidRPr="000E066E" w:rsidRDefault="000E066E" w:rsidP="002050D1">
      <w:pPr>
        <w:pStyle w:val="ConsPlusNormal"/>
        <w:jc w:val="right"/>
        <w:rPr>
          <w:szCs w:val="24"/>
        </w:rPr>
      </w:pPr>
      <w:r w:rsidRPr="000E066E">
        <w:rPr>
          <w:szCs w:val="24"/>
        </w:rPr>
        <w:t>о</w:t>
      </w:r>
      <w:r w:rsidR="002050D1" w:rsidRPr="000E066E">
        <w:rPr>
          <w:szCs w:val="24"/>
        </w:rPr>
        <w:t>т</w:t>
      </w:r>
      <w:r w:rsidRPr="000E066E">
        <w:rPr>
          <w:szCs w:val="24"/>
        </w:rPr>
        <w:t>___</w:t>
      </w:r>
      <w:r w:rsidR="002050D1" w:rsidRPr="000E066E">
        <w:rPr>
          <w:szCs w:val="24"/>
        </w:rPr>
        <w:t>.06.202</w:t>
      </w:r>
      <w:r w:rsidRPr="000E066E">
        <w:rPr>
          <w:szCs w:val="24"/>
        </w:rPr>
        <w:t>3</w:t>
      </w:r>
      <w:r w:rsidR="002050D1" w:rsidRPr="000E066E">
        <w:rPr>
          <w:szCs w:val="24"/>
        </w:rPr>
        <w:t xml:space="preserve"> </w:t>
      </w:r>
      <w:r w:rsidRPr="000E066E">
        <w:rPr>
          <w:szCs w:val="24"/>
        </w:rPr>
        <w:t>№___-</w:t>
      </w:r>
    </w:p>
    <w:tbl>
      <w:tblPr>
        <w:tblW w:w="10065" w:type="dxa"/>
        <w:tblLayout w:type="fixed"/>
        <w:tblCellMar>
          <w:left w:w="0" w:type="dxa"/>
          <w:right w:w="0" w:type="dxa"/>
        </w:tblCellMar>
        <w:tblLook w:val="04A0" w:firstRow="1" w:lastRow="0" w:firstColumn="1" w:lastColumn="0" w:noHBand="0" w:noVBand="1"/>
      </w:tblPr>
      <w:tblGrid>
        <w:gridCol w:w="5301"/>
        <w:gridCol w:w="115"/>
        <w:gridCol w:w="4649"/>
      </w:tblGrid>
      <w:tr w:rsidR="0031517D" w:rsidRPr="000E066E" w:rsidTr="002050D1">
        <w:trPr>
          <w:trHeight w:val="946"/>
        </w:trPr>
        <w:tc>
          <w:tcPr>
            <w:tcW w:w="10065" w:type="dxa"/>
            <w:gridSpan w:val="3"/>
            <w:vMerge w:val="restart"/>
            <w:shd w:val="clear" w:color="auto" w:fill="auto"/>
            <w:tcMar>
              <w:right w:w="72" w:type="dxa"/>
            </w:tcMar>
          </w:tcPr>
          <w:p w:rsidR="002050D1" w:rsidRPr="000E066E" w:rsidRDefault="002050D1">
            <w:pPr>
              <w:spacing w:line="232" w:lineRule="auto"/>
              <w:jc w:val="center"/>
              <w:rPr>
                <w:rFonts w:ascii="Times New Roman" w:eastAsia="Times New Roman" w:hAnsi="Times New Roman" w:cs="Times New Roman"/>
                <w:color w:val="000000"/>
                <w:spacing w:val="-2"/>
                <w:sz w:val="24"/>
                <w:szCs w:val="24"/>
              </w:rPr>
            </w:pPr>
          </w:p>
          <w:p w:rsidR="0031517D" w:rsidRPr="000E066E" w:rsidRDefault="007E5518">
            <w:pPr>
              <w:spacing w:line="232" w:lineRule="auto"/>
              <w:jc w:val="center"/>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Соглашение о предоставлении иного межбюджетного трансферта в целях софинансирования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 xml:space="preserve">в полном объеме расходных обязательств субъекта Российской Федерации, возникающих при оказании специализированной медицинской помощи военнослужащим Вооруженных Сил Российской Федерации медицинскими организациями, подведомственным исполнительному органу субъекта Российской Федерации, в период проведения специальной военной операции </w:t>
            </w:r>
          </w:p>
        </w:tc>
      </w:tr>
      <w:tr w:rsidR="0031517D" w:rsidRPr="000E066E" w:rsidTr="002050D1">
        <w:trPr>
          <w:trHeight w:val="945"/>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344"/>
        </w:trPr>
        <w:tc>
          <w:tcPr>
            <w:tcW w:w="5416" w:type="dxa"/>
            <w:gridSpan w:val="2"/>
            <w:shd w:val="clear" w:color="auto" w:fill="auto"/>
            <w:tcMar>
              <w:right w:w="72" w:type="dxa"/>
            </w:tcMar>
            <w:vAlign w:val="cente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 «__» ________ ____ г.</w:t>
            </w:r>
          </w:p>
        </w:tc>
        <w:tc>
          <w:tcPr>
            <w:tcW w:w="4649" w:type="dxa"/>
            <w:shd w:val="clear" w:color="auto" w:fill="auto"/>
            <w:tcMar>
              <w:right w:w="72" w:type="dxa"/>
            </w:tcMar>
            <w:vAlign w:val="center"/>
          </w:tcPr>
          <w:p w:rsidR="0031517D" w:rsidRPr="000E066E" w:rsidRDefault="007E5518">
            <w:pPr>
              <w:spacing w:line="232" w:lineRule="auto"/>
              <w:jc w:val="right"/>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056-17-2023-091</w:t>
            </w:r>
          </w:p>
        </w:tc>
      </w:tr>
      <w:tr w:rsidR="0031517D" w:rsidRPr="000E066E" w:rsidTr="002050D1">
        <w:trPr>
          <w:trHeight w:val="215"/>
        </w:trPr>
        <w:tc>
          <w:tcPr>
            <w:tcW w:w="10065" w:type="dxa"/>
            <w:gridSpan w:val="3"/>
          </w:tcPr>
          <w:p w:rsidR="0031517D" w:rsidRPr="000E066E" w:rsidRDefault="0031517D">
            <w:pPr>
              <w:rPr>
                <w:rFonts w:ascii="Times New Roman" w:hAnsi="Times New Roman" w:cs="Times New Roman"/>
                <w:sz w:val="24"/>
                <w:szCs w:val="24"/>
              </w:rPr>
            </w:pPr>
          </w:p>
        </w:tc>
      </w:tr>
      <w:tr w:rsidR="0031517D" w:rsidRPr="000E066E" w:rsidTr="002050D1">
        <w:trPr>
          <w:trHeight w:val="1433"/>
        </w:trPr>
        <w:tc>
          <w:tcPr>
            <w:tcW w:w="10065" w:type="dxa"/>
            <w:gridSpan w:val="3"/>
            <w:vMerge w:val="restart"/>
            <w:shd w:val="clear" w:color="auto" w:fill="auto"/>
            <w:tcMar>
              <w:right w:w="72" w:type="dxa"/>
            </w:tcMar>
          </w:tcPr>
          <w:p w:rsidR="0031517D" w:rsidRPr="000E066E" w:rsidRDefault="007E5518" w:rsidP="000E066E">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w:t>
            </w:r>
            <w:r w:rsidR="000E066E">
              <w:rPr>
                <w:rFonts w:ascii="Times New Roman" w:eastAsia="Times New Roman" w:hAnsi="Times New Roman" w:cs="Times New Roman"/>
                <w:color w:val="000000"/>
                <w:spacing w:val="-2"/>
                <w:sz w:val="24"/>
                <w:szCs w:val="24"/>
              </w:rPr>
              <w:t>Министерство здравоохранения Российской Федерации</w:t>
            </w:r>
            <w:r w:rsidRPr="000E066E">
              <w:rPr>
                <w:rFonts w:ascii="Times New Roman" w:eastAsia="Times New Roman" w:hAnsi="Times New Roman" w:cs="Times New Roman"/>
                <w:color w:val="000000"/>
                <w:spacing w:val="-2"/>
                <w:sz w:val="24"/>
                <w:szCs w:val="24"/>
              </w:rPr>
              <w:t xml:space="preserve">, которому как получателю средств федерального бюджета доведены лимиты бюджетных обязательств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 xml:space="preserve">на предоставление иного межбюджетного трансферта, имеющего целевое назначение, бюджетам субъектов Российской Федерации, именуемое в дальнейшем «Министерство», в лице заместителя Министра здравоохранения Российской Федерации Камкина Евгения Геннадьевича, действующего на основании доверенность от 24 января 2023 г. № 11-Д, с одной стороны,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и Правительство Санкт-Петербурга, именуемое в дальнейшем «Субъект», в лице вице-губернатора Санкт-Петербурга Эргашева Олега Николаевича, действующего на основании постановления Губернатора Санкт-Петербурга от 17.01.2018 №3-пг, с другой стороны, далее при совместном упоминании именуемые «Стороны», в соответствии с Бюджетным кодексом Российской Федерации, Федеральным законом от 05.12.2022 № 466-ФЗ «О федеральном бюджете на 2023 год и на плановый период 2024 и 2025 годов», Правилами предоставления иных межбюджетных трансфертов из федерального бюджета бюджетам субъектов Российской Федерации в целях софинансирования в полном объеме расходных обязательств субъектов Российской Федерации, возникающих при оказании специализированной медицинской помощи военнослужащим Вооруженных Сил Российской Федерации медицинскими организациями, подведомственными исполнительным органам субъектов Российской Федерации, в период проведения специальной военной операции, утвержденными постановлением Правительства Российской Федерации от 31.05.2023 № 896, и распоряжением Правительства Российской Федерации от 18.05.2023 № 1273-р заключили настоящее Соглашение о нижеследующем.</w:t>
            </w: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15"/>
        </w:trPr>
        <w:tc>
          <w:tcPr>
            <w:tcW w:w="10065" w:type="dxa"/>
            <w:gridSpan w:val="3"/>
          </w:tcPr>
          <w:p w:rsidR="0031517D" w:rsidRPr="000E066E" w:rsidRDefault="0031517D">
            <w:pPr>
              <w:rPr>
                <w:rFonts w:ascii="Times New Roman" w:hAnsi="Times New Roman" w:cs="Times New Roman"/>
                <w:sz w:val="24"/>
                <w:szCs w:val="24"/>
              </w:rPr>
            </w:pPr>
          </w:p>
        </w:tc>
      </w:tr>
      <w:tr w:rsidR="0031517D" w:rsidRPr="000E066E" w:rsidTr="002050D1">
        <w:trPr>
          <w:trHeight w:val="358"/>
        </w:trPr>
        <w:tc>
          <w:tcPr>
            <w:tcW w:w="10065" w:type="dxa"/>
            <w:gridSpan w:val="3"/>
            <w:shd w:val="clear" w:color="auto" w:fill="auto"/>
            <w:tcMar>
              <w:right w:w="72" w:type="dxa"/>
            </w:tcMar>
          </w:tcPr>
          <w:p w:rsidR="0031517D" w:rsidRPr="000E066E" w:rsidRDefault="007E5518">
            <w:pPr>
              <w:spacing w:line="232" w:lineRule="auto"/>
              <w:jc w:val="center"/>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I. Предмет Соглашения</w:t>
            </w:r>
          </w:p>
        </w:tc>
      </w:tr>
      <w:tr w:rsidR="0031517D" w:rsidRPr="000E066E" w:rsidTr="002050D1">
        <w:trPr>
          <w:trHeight w:val="1433"/>
        </w:trPr>
        <w:tc>
          <w:tcPr>
            <w:tcW w:w="10065" w:type="dxa"/>
            <w:gridSpan w:val="3"/>
            <w:vMerge w:val="restart"/>
            <w:shd w:val="clear" w:color="auto" w:fill="auto"/>
            <w:tcMar>
              <w:right w:w="72" w:type="dxa"/>
            </w:tcMar>
          </w:tcPr>
          <w:p w:rsidR="0031517D" w:rsidRPr="000E066E" w:rsidRDefault="007E5518" w:rsidP="000E066E">
            <w:pPr>
              <w:pStyle w:val="a3"/>
              <w:numPr>
                <w:ilvl w:val="1"/>
                <w:numId w:val="1"/>
              </w:numPr>
              <w:spacing w:line="232" w:lineRule="auto"/>
              <w:ind w:left="0" w:firstLine="284"/>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Предметом настоящего Соглашения является предоставление из федерального бюджета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 xml:space="preserve">в 2023 году бюджету города федерального значения Санкт-Петербург иного межбюджетного трансферта, имеющего целевое назначение в целях софинансирования в полном объеме расходных обязательств субъектов Российской Федерации, возникающих при оказании специализированной медицинской помощи военнослужащим Вооруженных Сил Российской Федерации медицинскими организациями, подведомственными исполнительным органам субъектов Российской Федерации, в период проведения специальной военной операции (далее – Иной межбюджетный трансферт), в соответствии с лимитами бюджетных обязательств, доведенными Министерству как получателю средств федерального бюджета по кодам классификации расходов бюджетов (далее – коды БК): код главного распорядителя средств федерального бюджета 056, раздел 09, подраздел 01, целевая статья 0141054060, вид расходов 540 в целях достижения результатов </w:t>
            </w:r>
            <w:r w:rsidR="000E066E" w:rsidRPr="000E066E">
              <w:rPr>
                <w:rFonts w:ascii="Times New Roman" w:eastAsia="Times New Roman" w:hAnsi="Times New Roman" w:cs="Times New Roman"/>
                <w:color w:val="000000"/>
                <w:spacing w:val="-2"/>
                <w:sz w:val="24"/>
                <w:szCs w:val="24"/>
              </w:rPr>
              <w:t>федерального проекта «Медико-санитарное обеспечение отдельных категорий граждан» в рамках государственной программы Российской Федерации «Развитие здравоохранения», утвержденной постановлением Правительства Российской Федерации от 26.12.2017 № 1640.</w:t>
            </w:r>
          </w:p>
          <w:p w:rsidR="000E066E" w:rsidRPr="000E066E" w:rsidRDefault="000E066E" w:rsidP="000E066E">
            <w:pPr>
              <w:pStyle w:val="a3"/>
              <w:numPr>
                <w:ilvl w:val="1"/>
                <w:numId w:val="1"/>
              </w:numPr>
              <w:spacing w:line="232" w:lineRule="auto"/>
              <w:ind w:left="0" w:firstLine="284"/>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Иной межбюджетный трансферт предоставляется в соответствии с приложением № 1 </w:t>
            </w:r>
            <w:r>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к настоящему Соглашению, являющимся его неотъемлемой частью, в целях софинансирования расходных обязательств субъекта Российской Федерации.</w:t>
            </w:r>
          </w:p>
          <w:p w:rsidR="000E066E" w:rsidRPr="000E066E" w:rsidRDefault="000E066E" w:rsidP="000E066E">
            <w:pPr>
              <w:spacing w:line="232" w:lineRule="auto"/>
              <w:ind w:firstLine="284"/>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1.3. Расходные обязательства субъекта Российской Федерации, в целях софинансирования которых предоставляется Иной межбюджетный трансферт, установлены постановлением Правительства Санкт-Петербурга от 30.06.2014 № 553.</w:t>
            </w: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0E066E">
        <w:trPr>
          <w:trHeight w:val="3738"/>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674"/>
        </w:trPr>
        <w:tc>
          <w:tcPr>
            <w:tcW w:w="10065" w:type="dxa"/>
            <w:gridSpan w:val="3"/>
            <w:shd w:val="clear" w:color="auto" w:fill="auto"/>
            <w:tcMar>
              <w:right w:w="72" w:type="dxa"/>
            </w:tcMar>
          </w:tcPr>
          <w:p w:rsidR="0031517D" w:rsidRPr="000E066E" w:rsidRDefault="007E5518">
            <w:pPr>
              <w:spacing w:line="232" w:lineRule="auto"/>
              <w:jc w:val="center"/>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lastRenderedPageBreak/>
              <w:t>II. Финансовое обеспечение расходных обязательств субъекта Российской Федерации, в целях софинансирования которых предоставляется Иной межбюджетный трансферт</w:t>
            </w:r>
          </w:p>
        </w:tc>
      </w:tr>
      <w:tr w:rsidR="0031517D" w:rsidRPr="000E066E" w:rsidTr="002050D1">
        <w:trPr>
          <w:trHeight w:val="1433"/>
        </w:trPr>
        <w:tc>
          <w:tcPr>
            <w:tcW w:w="10065" w:type="dxa"/>
            <w:gridSpan w:val="3"/>
            <w:vMerge w:val="restart"/>
            <w:shd w:val="clear" w:color="auto" w:fill="auto"/>
            <w:tcMar>
              <w:right w:w="72" w:type="dxa"/>
            </w:tcMar>
          </w:tcPr>
          <w:p w:rsidR="0031517D" w:rsidRPr="000E066E" w:rsidRDefault="007E5518" w:rsidP="000E066E">
            <w:pPr>
              <w:spacing w:line="232" w:lineRule="auto"/>
              <w:ind w:firstLine="284"/>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2.1. Общий объем бюджетных ассигнований, предусматриваемых в бюджете города федерального значения Санкт-Петербург на финансовое обеспечение расходных обязательств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в целях софинансирования которых предоставляется Иной межбюджетный трансферт, составляет:</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в 2023 году 164 924 900 (сто шестьдесят четыре миллиона девятьсот двадцать четыре тысячи девятьсот) рублей 00 копеек.</w:t>
            </w:r>
          </w:p>
          <w:p w:rsidR="0031517D" w:rsidRPr="000E066E" w:rsidRDefault="007E5518" w:rsidP="000E066E">
            <w:pPr>
              <w:spacing w:line="232" w:lineRule="auto"/>
              <w:ind w:firstLine="284"/>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2.2. Общий размер Иного межбюджетного трансферта, предоставляемого из федерального бюджета бюджету города федерального значения Санкт-Петербург в соответствии с настоящим Соглашением, составляет в 2023 году 164 924 900 (сто шестьдесят четыре миллиона девятьсот двадцать четыре тысячи девятьсот) рублей 00 копеек.</w:t>
            </w: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29"/>
        </w:trPr>
        <w:tc>
          <w:tcPr>
            <w:tcW w:w="10065" w:type="dxa"/>
            <w:gridSpan w:val="3"/>
          </w:tcPr>
          <w:p w:rsidR="0031517D" w:rsidRPr="000E066E" w:rsidRDefault="0031517D">
            <w:pPr>
              <w:rPr>
                <w:rFonts w:ascii="Times New Roman" w:hAnsi="Times New Roman" w:cs="Times New Roman"/>
                <w:sz w:val="24"/>
                <w:szCs w:val="24"/>
              </w:rPr>
            </w:pPr>
          </w:p>
        </w:tc>
      </w:tr>
      <w:tr w:rsidR="0031517D" w:rsidRPr="000E066E" w:rsidTr="002050D1">
        <w:trPr>
          <w:trHeight w:val="674"/>
        </w:trPr>
        <w:tc>
          <w:tcPr>
            <w:tcW w:w="10065" w:type="dxa"/>
            <w:gridSpan w:val="3"/>
            <w:shd w:val="clear" w:color="auto" w:fill="auto"/>
            <w:tcMar>
              <w:right w:w="72" w:type="dxa"/>
            </w:tcMar>
          </w:tcPr>
          <w:p w:rsidR="0031517D" w:rsidRPr="000E066E" w:rsidRDefault="007E5518">
            <w:pPr>
              <w:spacing w:line="232" w:lineRule="auto"/>
              <w:jc w:val="center"/>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III. Порядок, условия предоставления и сроки перечисления Иного межбюджетного трансферта</w:t>
            </w:r>
          </w:p>
        </w:tc>
      </w:tr>
      <w:tr w:rsidR="0031517D" w:rsidRPr="000E066E" w:rsidTr="002050D1">
        <w:trPr>
          <w:trHeight w:val="1433"/>
        </w:trPr>
        <w:tc>
          <w:tcPr>
            <w:tcW w:w="10065" w:type="dxa"/>
            <w:gridSpan w:val="3"/>
            <w:vMerge w:val="restart"/>
            <w:shd w:val="clear" w:color="auto" w:fill="auto"/>
            <w:tcMar>
              <w:right w:w="72" w:type="dxa"/>
            </w:tcMar>
          </w:tcPr>
          <w:p w:rsidR="0031517D" w:rsidRPr="000E066E" w:rsidRDefault="007E5518" w:rsidP="000E066E">
            <w:pPr>
              <w:spacing w:line="232" w:lineRule="auto"/>
              <w:ind w:firstLine="284"/>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3.1. Иной межбюджетный трансферт предоставляется в пределах бюджетных ассигнований, предусмотренных в федеральном законе о федеральном бюджете (сводной бюджетной росписи федерального бюджета) на 2023 финансовый год, и лимитов бюджетных обязательств, доведенных Министерству как получателю средств федерального бюджета на финансовый год.</w:t>
            </w:r>
          </w:p>
          <w:p w:rsidR="0031517D" w:rsidRPr="000E066E" w:rsidRDefault="007E5518" w:rsidP="000E066E">
            <w:pPr>
              <w:spacing w:line="232" w:lineRule="auto"/>
              <w:ind w:firstLine="284"/>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3.2. Иной межбюджетный трансферт предоставляется при выполнении следующих условий:</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а) наличие медицинской организации в перечне медицинских организаций, подведомственных исполнительному органу субъекта Российской Федерации, которые задействуются для оказания медицинской помощи военнослужащим Вооруженных Сил Российской Федерации в период проведения специальной военной операции, утверждаемом исполнительным органом субъекта Российской Федерации в сфере охраны здоровья (далее - медицинская организация);</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 б) заключение между Министерством здравоохранения Российской Федерации и высшим исполнительным органом субъекта Российской Федерации соглашения о предоставлении </w:t>
            </w: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1433"/>
        </w:trPr>
        <w:tc>
          <w:tcPr>
            <w:tcW w:w="10065" w:type="dxa"/>
            <w:gridSpan w:val="3"/>
            <w:vMerge w:val="restart"/>
            <w:shd w:val="clear" w:color="auto" w:fill="auto"/>
            <w:tcMar>
              <w:right w:w="72" w:type="dxa"/>
            </w:tcMar>
          </w:tcPr>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иного межбюджетного трансферта с использованием государственной интегрированной информационной системы управления общественными финансами </w:t>
            </w:r>
            <w:r w:rsidR="000E066E">
              <w:rPr>
                <w:rFonts w:ascii="Times New Roman" w:eastAsia="Times New Roman" w:hAnsi="Times New Roman" w:cs="Times New Roman"/>
                <w:color w:val="000000"/>
                <w:spacing w:val="-2"/>
                <w:sz w:val="24"/>
                <w:szCs w:val="24"/>
              </w:rPr>
              <w:t>«</w:t>
            </w:r>
            <w:r w:rsidRPr="000E066E">
              <w:rPr>
                <w:rFonts w:ascii="Times New Roman" w:eastAsia="Times New Roman" w:hAnsi="Times New Roman" w:cs="Times New Roman"/>
                <w:color w:val="000000"/>
                <w:spacing w:val="-2"/>
                <w:sz w:val="24"/>
                <w:szCs w:val="24"/>
              </w:rPr>
              <w:t>Электронный бюджет</w:t>
            </w:r>
            <w:r w:rsidR="000E066E">
              <w:rPr>
                <w:rFonts w:ascii="Times New Roman" w:eastAsia="Times New Roman" w:hAnsi="Times New Roman" w:cs="Times New Roman"/>
                <w:color w:val="000000"/>
                <w:spacing w:val="-2"/>
                <w:sz w:val="24"/>
                <w:szCs w:val="24"/>
              </w:rPr>
              <w:t>»</w:t>
            </w:r>
            <w:r w:rsidRPr="000E066E">
              <w:rPr>
                <w:rFonts w:ascii="Times New Roman" w:eastAsia="Times New Roman" w:hAnsi="Times New Roman" w:cs="Times New Roman"/>
                <w:color w:val="000000"/>
                <w:spacing w:val="-2"/>
                <w:sz w:val="24"/>
                <w:szCs w:val="24"/>
              </w:rPr>
              <w:t xml:space="preserve">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в соответствии с типовой формой соглашения, утвержденной Министерством финансов Российской Федерации.</w:t>
            </w:r>
          </w:p>
          <w:p w:rsidR="0031517D" w:rsidRPr="000E066E" w:rsidRDefault="007E5518" w:rsidP="000E066E">
            <w:pPr>
              <w:spacing w:line="232" w:lineRule="auto"/>
              <w:ind w:firstLine="284"/>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3.2.1. Документы, подтверждающие выполнение условий предоставления Иного межбюджетного трансферта, предусмотренных подпунктами «а» и «б» пункта 3.2 настоящего Соглашения, представляются однократно Субъектом в территориальный орган Федерального казначейства.</w:t>
            </w:r>
          </w:p>
          <w:p w:rsidR="0031517D" w:rsidRPr="000E066E" w:rsidRDefault="007E5518" w:rsidP="000E066E">
            <w:pPr>
              <w:spacing w:line="232" w:lineRule="auto"/>
              <w:ind w:firstLine="284"/>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3.3. Перечисление Иного межбюджетного трансферта из федерального бюджета в бюджет города федерального значения Санкт-Петербург осуществляется на единый счет бюджета города федерального значения Санкт-Петербург, открытый </w:t>
            </w:r>
            <w:r w:rsidR="000E066E">
              <w:rPr>
                <w:rFonts w:ascii="Times New Roman" w:eastAsia="Times New Roman" w:hAnsi="Times New Roman" w:cs="Times New Roman"/>
                <w:color w:val="000000"/>
                <w:spacing w:val="-2"/>
                <w:sz w:val="24"/>
                <w:szCs w:val="24"/>
              </w:rPr>
              <w:t>Комитету Финансов Санкт-Петербурга</w:t>
            </w:r>
            <w:r w:rsidRPr="000E066E">
              <w:rPr>
                <w:rFonts w:ascii="Times New Roman" w:eastAsia="Times New Roman" w:hAnsi="Times New Roman" w:cs="Times New Roman"/>
                <w:color w:val="000000"/>
                <w:spacing w:val="-2"/>
                <w:sz w:val="24"/>
                <w:szCs w:val="24"/>
              </w:rPr>
              <w:t xml:space="preserve">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в Управлении Федерального казначейства по г. Санкт-Петербургу.</w:t>
            </w:r>
          </w:p>
          <w:p w:rsidR="0031517D" w:rsidRPr="000E066E" w:rsidRDefault="007E5518" w:rsidP="000E066E">
            <w:pPr>
              <w:spacing w:line="232" w:lineRule="auto"/>
              <w:ind w:firstLine="284"/>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3.3.1. Перечисление Иного межбюджетного трансферта из федерального бюджета осуществляется Федеральным казначейством не позднее 2-го рабочего дня, следующего за днем представления в Управление Федерального казначейства по г. Санкт-Петербургу в установленном Федеральным казначейством порядке платежных документов:</w:t>
            </w:r>
          </w:p>
          <w:p w:rsidR="0031517D" w:rsidRPr="000E066E" w:rsidRDefault="007E5518" w:rsidP="000E066E">
            <w:pPr>
              <w:spacing w:line="232" w:lineRule="auto"/>
              <w:ind w:firstLine="284"/>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3.3.1.1. связанных с исполнением расходных обязательств Субъекта, в целях софинансирования которых предоставляется Иной межбюджетный трансферт, представленных финансовым органом Субъекта.</w:t>
            </w:r>
          </w:p>
          <w:p w:rsidR="0031517D" w:rsidRPr="000E066E" w:rsidRDefault="007E5518" w:rsidP="000E066E">
            <w:pPr>
              <w:spacing w:line="232" w:lineRule="auto"/>
              <w:ind w:firstLine="284"/>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3.3.2. Перечисление Иного межбюджетного трансферта осуществляется Федеральным казначейством.</w:t>
            </w: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358"/>
        </w:trPr>
        <w:tc>
          <w:tcPr>
            <w:tcW w:w="10065" w:type="dxa"/>
            <w:gridSpan w:val="3"/>
            <w:shd w:val="clear" w:color="auto" w:fill="auto"/>
            <w:tcMar>
              <w:right w:w="72" w:type="dxa"/>
            </w:tcMar>
          </w:tcPr>
          <w:p w:rsidR="0031517D" w:rsidRPr="000E066E" w:rsidRDefault="007E5518" w:rsidP="000E066E">
            <w:pPr>
              <w:spacing w:line="232" w:lineRule="auto"/>
              <w:jc w:val="center"/>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IV. Взаимодействие Сторон</w:t>
            </w:r>
          </w:p>
        </w:tc>
      </w:tr>
      <w:tr w:rsidR="0031517D" w:rsidRPr="000E066E" w:rsidTr="002050D1">
        <w:trPr>
          <w:trHeight w:val="1432"/>
        </w:trPr>
        <w:tc>
          <w:tcPr>
            <w:tcW w:w="10065" w:type="dxa"/>
            <w:gridSpan w:val="3"/>
            <w:vMerge w:val="restart"/>
            <w:shd w:val="clear" w:color="auto" w:fill="auto"/>
            <w:tcMar>
              <w:right w:w="72" w:type="dxa"/>
            </w:tcMar>
          </w:tcPr>
          <w:p w:rsidR="0031517D" w:rsidRPr="000E066E" w:rsidRDefault="007E5518" w:rsidP="000E066E">
            <w:pPr>
              <w:spacing w:line="232" w:lineRule="auto"/>
              <w:ind w:firstLine="284"/>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4.1. Министерство обязуется:</w:t>
            </w:r>
          </w:p>
          <w:p w:rsidR="0031517D" w:rsidRPr="000E066E" w:rsidRDefault="007E5518" w:rsidP="000E066E">
            <w:pPr>
              <w:spacing w:line="232" w:lineRule="auto"/>
              <w:ind w:firstLine="284"/>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4.1.1. Обеспечить предоставление Иного межбюджетного трансферта бюджету города федерального значения Санкт-Петербург в порядке и при соблюдении Субъектом условий предоставления Иного межбюджетного трансферта, установленных настоящим Соглашением,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в пределах лимитов бюджетных обязательств на 2023 финансовый год, доведенных Министерству как получателю средств федерального бюджета.</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4.1.2. Осуществлять контроль за соблюдением Субъектом условий предоставления Иного межбюджетного трансферта и других обязательств, предусмотренных настоящим Соглашением.</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lastRenderedPageBreak/>
              <w:t>      4.1.3. Осуществлять оценку результатов предоставления Иного межбюджетного трансферта с учетом обязательств по достижению значений результатов предоставления Иного межбюджетного трансферта, установленных в соответствии с пунктом 4.3.3 настоящего Соглашения, на основании данных отчетности, представленной Субъектом.</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      4.1.4. В случае если Субъектом по состоянию на 31 декабря года предоставления Иного межбюджетного трансферта допущены нарушения обязательств, предусмотренных пунктом 4.3.3 настоящего Соглашения, и в срок до 1 апреля года, следующего за годом предоставления Иного межбюджетного трансферта, указанные нарушения не устранены, рассчитать объем средств, подлежащий возврату из бюджета города федерального значения Санкт-Петербург в федеральный бюджет в соответствии с Правилами предоставления иных межбюджетных трансфертов,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 xml:space="preserve">и направить Субъекту требование о </w:t>
            </w:r>
            <w:r w:rsidR="000E066E" w:rsidRPr="000E066E">
              <w:rPr>
                <w:rFonts w:ascii="Times New Roman" w:eastAsia="Times New Roman" w:hAnsi="Times New Roman" w:cs="Times New Roman"/>
                <w:color w:val="000000"/>
                <w:spacing w:val="-2"/>
                <w:sz w:val="24"/>
                <w:szCs w:val="24"/>
              </w:rPr>
              <w:t xml:space="preserve">возврате средств Иного межбюджетного трансферта </w:t>
            </w:r>
            <w:r w:rsidR="000E066E">
              <w:rPr>
                <w:rFonts w:ascii="Times New Roman" w:eastAsia="Times New Roman" w:hAnsi="Times New Roman" w:cs="Times New Roman"/>
                <w:color w:val="000000"/>
                <w:spacing w:val="-2"/>
                <w:sz w:val="24"/>
                <w:szCs w:val="24"/>
              </w:rPr>
              <w:br/>
            </w:r>
            <w:r w:rsidR="000E066E" w:rsidRPr="000E066E">
              <w:rPr>
                <w:rFonts w:ascii="Times New Roman" w:eastAsia="Times New Roman" w:hAnsi="Times New Roman" w:cs="Times New Roman"/>
                <w:color w:val="000000"/>
                <w:spacing w:val="-2"/>
                <w:sz w:val="24"/>
                <w:szCs w:val="24"/>
              </w:rPr>
              <w:t>в федеральный бюджет в указанном объеме.</w:t>
            </w: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1433"/>
        </w:trPr>
        <w:tc>
          <w:tcPr>
            <w:tcW w:w="10065" w:type="dxa"/>
            <w:gridSpan w:val="3"/>
            <w:vMerge w:val="restart"/>
            <w:shd w:val="clear" w:color="auto" w:fill="auto"/>
            <w:tcMar>
              <w:right w:w="72" w:type="dxa"/>
            </w:tcMar>
          </w:tcPr>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lastRenderedPageBreak/>
              <w:t>      4.1.5. В случае приостановления предоставления Иного межбюджетного трансферта информировать Субъект о причинах такого приостановления.</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      4.1.6. Направлять разъяснения Субъекту по вопросам, связанным с исполнением настоящего Соглашения, в течение 20 дней рабочих дней со дня получения обращения Субъекта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в соответствии с пунктом 4.4.1 настоящего Соглашения.</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4.1.7. Выполнять иные обязательства, установленные бюджетным законодательством Российской Федерации, Правилами предоставления иных межбюджетных трансфертов, иными нормативными правовыми актами Российской Федерации, регулирующими бюджетные правоотношения по предоставлению иных</w:t>
            </w:r>
            <w:r w:rsidR="000E066E">
              <w:rPr>
                <w:rFonts w:ascii="Times New Roman" w:eastAsia="Times New Roman" w:hAnsi="Times New Roman" w:cs="Times New Roman"/>
                <w:color w:val="000000"/>
                <w:spacing w:val="-2"/>
                <w:sz w:val="24"/>
                <w:szCs w:val="24"/>
              </w:rPr>
              <w:t xml:space="preserve"> </w:t>
            </w:r>
            <w:r w:rsidRPr="000E066E">
              <w:rPr>
                <w:rFonts w:ascii="Times New Roman" w:eastAsia="Times New Roman" w:hAnsi="Times New Roman" w:cs="Times New Roman"/>
                <w:color w:val="000000"/>
                <w:spacing w:val="-2"/>
                <w:sz w:val="24"/>
                <w:szCs w:val="24"/>
              </w:rPr>
              <w:t>межбюджетных трансфертов, имеющих целевое назначение, из федерального бюджета бюджетам субъектов Российской Федерации, и настоящим Соглашением:</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4.2. Министерство вправе:</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      4.2.1. Запрашивать у Субъекта документы и материалы, необходимые для осуществления контроля за соблюдением Субъектом условий предоставления Иного межбюджетного трансферта и других обязательств, предусмотренных Соглашением, в том числе данные бухгалтерского учета и первичную документацию, связанные с исполнением Субъектом условий предоставления Иного межбюджетного трансферта. </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      4.2.2. Осуществлять иные права, установленные бюджетным законодательством Российской Федерации, Правилами предоставления иных межбюджетных трансфертов, иными нормативными правовыми актами Российской Федерации, регулирующими бюджетные правоотношения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 xml:space="preserve">по предоставлению иных межбюджетных трансфертов, имеющих целевое назначение,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из федерального бюджета бюджетам субъектов Российской Федерации, и настоящим Соглашением:</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4.3. Субъект обязуется:</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4.3.1. Обеспечивать выполнение условий предоставления Иного межбюджетного трансферта, установленных пунктом 3.2 настоящего Соглашения.</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4.3.2. Обеспечивать исполнение требований Министерства по возврату средств в федеральный бюджет, если Правилами предоставления иных межбюджетных трансфертов предусматриваются положения о возврате средств в федеральный бюджет за нарушение обязательств по достижению результатов предоставления Иного межбюджетного трансферта.</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4.3.3. Обеспечивать достижение значений результатов предоставления Иного межбюджетного трансферта, установленных в соответствии с приложением № 2 к настоящему Соглашению, являющимся его неотъемлемой частью.</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      4.3.4. Установить обязательство медицинской организации вести обособленный учет затрат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на оказание специализированной медицинской помощи военнослужащим в период проведения специальной военной операции и обеспечить контроль.</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      4.3.5. Обеспечивать выполнение установленных требований к качеству и доступности предоставляемых государственных и (или) муниципальных услуг. </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      4.3.6. Обеспечивать представление в Министерство в форме электронного документа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в государственной интегрированной информационной системе управления общественными финансами «Электронный бюджет» отчеты о:</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4.3.6.1. расходах бюджета города федерального значения Санкт-Петербург, в целях софинансирования которых предоставляется Иной межбюджетный трансферт, по форме согласно приложению № 3 к настоящему Соглашению, являющемуся его неотъемлемой</w:t>
            </w:r>
            <w:r w:rsidR="000E066E" w:rsidRPr="000E066E">
              <w:rPr>
                <w:rFonts w:ascii="Times New Roman" w:eastAsia="Times New Roman" w:hAnsi="Times New Roman" w:cs="Times New Roman"/>
                <w:color w:val="000000"/>
                <w:spacing w:val="-2"/>
                <w:sz w:val="24"/>
                <w:szCs w:val="24"/>
              </w:rPr>
              <w:t xml:space="preserve"> частью, не позднее 5 числа месяца, следующего за отчетным месяца;</w:t>
            </w: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1433"/>
        </w:trPr>
        <w:tc>
          <w:tcPr>
            <w:tcW w:w="10065" w:type="dxa"/>
            <w:gridSpan w:val="3"/>
            <w:vMerge w:val="restart"/>
            <w:shd w:val="clear" w:color="auto" w:fill="auto"/>
            <w:tcMar>
              <w:right w:w="72" w:type="dxa"/>
            </w:tcMar>
          </w:tcPr>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4.3.6.2. достижении значений результатов предоставления Иного межбюджетного трансферта по форме согласно приложению № 4 к настоящему Соглашению, являющемуся его неотъемлемой частью (ежемесячные, не позднее 5 календарных дней месяца, следующего за отчетным периодом; годовой - позднее 10 февраля года, следующего за отчетным годом.</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      4.3.6.3. Отчет о количестве случаев оказанной специализированной медицинской помощи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на задействованных для оказания медицинской помощи военнослужащим койках медицинских организаций ежемесячно по форме № 5 к настоящему Соглашению, не позднее 5 календарных дней месяца, следующего за отчетным периодом.</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      4.3.7. В случае получения запроса обеспечивать представление в Министерство документов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 xml:space="preserve">и материалов, необходимых для осуществления контроля за соблюдением Субъектом условий предоставления Иного межбюджетного трансферта и других обязательств, предусмотренных настоящим Соглашением, в том числе данных бухгалтерского учета и первичной документации, связанных с исполнением Субъектом условий предоставления Иного межбюджетного трансферта. </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      4.3.8. Возвратить в федеральный бюджет не использованный по состоянию на 1 января финансового года, следующего за отчетным, остаток средств Иного межбюджетного трансферта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в сроки, установленные бюджетным законодательством Российской Федерации.</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4.3.9. Выполнять иные обязательства, установленные бюджетным законодательством Российской Федерации, Правилами предоставления иных межбюджетных трансфертов, иными нормативными правовыми актами Российской Федерации, регулирующими бюджетные правоотношения по предоставлению иных межбюджетных трансфертов, имеющих целевое назначение, из федерального бюджета бюджетам субъектов Российской Федерации, и настоящим Соглашением:</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4.4. Субъект вправе:</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4.4.1. Обращаться в Министерство за разъяснениями в связи с исполнением настоящего Соглашения.</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      4.4.2. Осуществлять иные права, установленные бюджетным законодательством Российской Федерации, Правилами предоставления иных межбюджетных трансфертов, иными нормативными правовыми актами Российской Федерации, регулирующими бюджетные правоотношения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 xml:space="preserve">по предоставлению иных межбюджетных трансфертов, имеющих целевое назначение,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из федерального бюджета бюджетам субъектов Российской Федерации, и настоящим Соглашением:</w:t>
            </w: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358"/>
        </w:trPr>
        <w:tc>
          <w:tcPr>
            <w:tcW w:w="10065" w:type="dxa"/>
            <w:gridSpan w:val="3"/>
            <w:shd w:val="clear" w:color="auto" w:fill="auto"/>
            <w:tcMar>
              <w:right w:w="72" w:type="dxa"/>
            </w:tcMar>
          </w:tcPr>
          <w:p w:rsidR="0031517D" w:rsidRPr="000E066E" w:rsidRDefault="007E5518">
            <w:pPr>
              <w:spacing w:line="232" w:lineRule="auto"/>
              <w:jc w:val="center"/>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V. Ответственность Сторон</w:t>
            </w:r>
          </w:p>
        </w:tc>
      </w:tr>
      <w:tr w:rsidR="0031517D" w:rsidRPr="000E066E" w:rsidTr="002050D1">
        <w:trPr>
          <w:trHeight w:val="1419"/>
        </w:trPr>
        <w:tc>
          <w:tcPr>
            <w:tcW w:w="10065" w:type="dxa"/>
            <w:gridSpan w:val="3"/>
            <w:vMerge w:val="restart"/>
            <w:shd w:val="clear" w:color="auto" w:fill="auto"/>
            <w:tcMar>
              <w:right w:w="72" w:type="dxa"/>
            </w:tcMar>
          </w:tcPr>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      5.1. В случае неисполнения или ненадлежащего исполнения своих обязанностей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по настоящему Соглашению Стороны несут ответственность в соответствии с законодательством Российской Федерации.</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5.2. В случае если не использованный по состоянию на 1 января финансового года, следующего за отчетным, остаток Иного межбюджетного трансферта не перечислен в доход федерального бюджета, указанные средства подлежат взысканию в доход федерального бюджета в соответствии с порядком, утвержденным Министерством финансов Российской Федерации.</w:t>
            </w: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29"/>
        </w:trPr>
        <w:tc>
          <w:tcPr>
            <w:tcW w:w="10065" w:type="dxa"/>
            <w:gridSpan w:val="3"/>
          </w:tcPr>
          <w:p w:rsidR="0031517D" w:rsidRPr="000E066E" w:rsidRDefault="0031517D">
            <w:pPr>
              <w:rPr>
                <w:rFonts w:ascii="Times New Roman" w:hAnsi="Times New Roman" w:cs="Times New Roman"/>
                <w:sz w:val="24"/>
                <w:szCs w:val="24"/>
              </w:rPr>
            </w:pPr>
          </w:p>
        </w:tc>
      </w:tr>
      <w:tr w:rsidR="0031517D" w:rsidRPr="000E066E" w:rsidTr="002050D1">
        <w:trPr>
          <w:trHeight w:val="359"/>
        </w:trPr>
        <w:tc>
          <w:tcPr>
            <w:tcW w:w="10065" w:type="dxa"/>
            <w:gridSpan w:val="3"/>
            <w:shd w:val="clear" w:color="auto" w:fill="auto"/>
            <w:tcMar>
              <w:right w:w="72" w:type="dxa"/>
            </w:tcMar>
          </w:tcPr>
          <w:p w:rsidR="0031517D" w:rsidRPr="000E066E" w:rsidRDefault="007E5518">
            <w:pPr>
              <w:spacing w:line="232" w:lineRule="auto"/>
              <w:jc w:val="center"/>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VI. Иные условия</w:t>
            </w:r>
          </w:p>
        </w:tc>
      </w:tr>
      <w:tr w:rsidR="0031517D" w:rsidRPr="000E066E" w:rsidTr="002050D1">
        <w:trPr>
          <w:trHeight w:val="1075"/>
        </w:trPr>
        <w:tc>
          <w:tcPr>
            <w:tcW w:w="10065" w:type="dxa"/>
            <w:gridSpan w:val="3"/>
            <w:vMerge w:val="restart"/>
            <w:shd w:val="clear" w:color="auto" w:fill="auto"/>
            <w:tcMar>
              <w:right w:w="72" w:type="dxa"/>
            </w:tcMar>
          </w:tcPr>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6.1. Иные условия по настоящему Соглашению.</w:t>
            </w:r>
          </w:p>
          <w:p w:rsidR="0031517D" w:rsidRPr="000E066E" w:rsidRDefault="007E5518" w:rsidP="000E066E">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      6.1.1. Уполномоченным органом исполнительной власти Субъекта, осуществляющим взаимодействие с Министерством, на который со стороны Субъекта возлагаются функции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 xml:space="preserve">по исполнению (координации исполнения) настоящего Соглашения и представление отчетности, является </w:t>
            </w:r>
            <w:r w:rsidR="000E066E">
              <w:rPr>
                <w:rFonts w:ascii="Times New Roman" w:eastAsia="Times New Roman" w:hAnsi="Times New Roman" w:cs="Times New Roman"/>
                <w:color w:val="000000"/>
                <w:spacing w:val="-2"/>
                <w:sz w:val="24"/>
                <w:szCs w:val="24"/>
              </w:rPr>
              <w:t>Комитет по здравоохранению</w:t>
            </w:r>
            <w:r w:rsidRPr="000E066E">
              <w:rPr>
                <w:rFonts w:ascii="Times New Roman" w:eastAsia="Times New Roman" w:hAnsi="Times New Roman" w:cs="Times New Roman"/>
                <w:color w:val="000000"/>
                <w:spacing w:val="-2"/>
                <w:sz w:val="24"/>
                <w:szCs w:val="24"/>
              </w:rPr>
              <w:t>.</w:t>
            </w: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30"/>
        </w:trPr>
        <w:tc>
          <w:tcPr>
            <w:tcW w:w="10065" w:type="dxa"/>
            <w:gridSpan w:val="3"/>
          </w:tcPr>
          <w:p w:rsidR="0031517D" w:rsidRPr="000E066E" w:rsidRDefault="0031517D">
            <w:pPr>
              <w:rPr>
                <w:rFonts w:ascii="Times New Roman" w:hAnsi="Times New Roman" w:cs="Times New Roman"/>
                <w:sz w:val="24"/>
                <w:szCs w:val="24"/>
              </w:rPr>
            </w:pPr>
          </w:p>
        </w:tc>
      </w:tr>
      <w:tr w:rsidR="0031517D" w:rsidRPr="000E066E" w:rsidTr="002050D1">
        <w:trPr>
          <w:trHeight w:val="358"/>
        </w:trPr>
        <w:tc>
          <w:tcPr>
            <w:tcW w:w="10065" w:type="dxa"/>
            <w:gridSpan w:val="3"/>
            <w:shd w:val="clear" w:color="auto" w:fill="auto"/>
            <w:tcMar>
              <w:right w:w="72" w:type="dxa"/>
            </w:tcMar>
          </w:tcPr>
          <w:p w:rsidR="0031517D" w:rsidRPr="000E066E" w:rsidRDefault="007E5518">
            <w:pPr>
              <w:spacing w:line="232" w:lineRule="auto"/>
              <w:jc w:val="center"/>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VII. Заключительные положения</w:t>
            </w:r>
          </w:p>
        </w:tc>
      </w:tr>
      <w:tr w:rsidR="0031517D" w:rsidRPr="000E066E" w:rsidTr="002050D1">
        <w:trPr>
          <w:trHeight w:val="1433"/>
        </w:trPr>
        <w:tc>
          <w:tcPr>
            <w:tcW w:w="10065" w:type="dxa"/>
            <w:gridSpan w:val="3"/>
            <w:vMerge w:val="restart"/>
            <w:shd w:val="clear" w:color="auto" w:fill="auto"/>
            <w:tcMar>
              <w:right w:w="72" w:type="dxa"/>
            </w:tcMar>
          </w:tcPr>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7.1.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протоколов или иных документов. При недостижении согласия споры между Сторонами решаются в судебном порядке.</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7.2. Подписанное Сторонами соглашение вступает в силу после доведения Министерству, как получателю средств федерального бюджета, лимитов бюджетных обязательств на предоставление Иного межбюджетного трансферта и с даты внесения сведений о нем в реестр соглашений, ведение которого осуществляется Федеральным казначейством, и действует до полного исполнения Сторонами своих обязательств по настоящему Соглашению.</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В случае заключения нового соглашения по предмету настоящего Соглашения обязательства сторон по настоящему Соглашению прекращаются.</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      7.3. Изменение настоящего Соглашения осуществляется по инициативе Сторон, а также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 xml:space="preserve">в случаях, установленных Правилами предоставления иных межбюджетных трансфертов,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 xml:space="preserve">и оформляется в виде дополнительного соглашения к настоящему Соглашению, которое является его неотъемлемой частью, в государственной интегрированной информационной системе управления общественными финансами «Электронный бюджет». </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7.4. Расторжение настоящего Соглашения возможно при взаимном согласии Сторон.</w:t>
            </w:r>
          </w:p>
          <w:p w:rsidR="0031517D" w:rsidRPr="000E066E" w:rsidRDefault="007E5518">
            <w:pPr>
              <w:spacing w:line="232" w:lineRule="auto"/>
              <w:jc w:val="both"/>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      7.5. Настоящее Соглашение заключено Сторонами в форме электронного документа </w:t>
            </w:r>
            <w:r w:rsidR="000E066E">
              <w:rPr>
                <w:rFonts w:ascii="Times New Roman" w:eastAsia="Times New Roman" w:hAnsi="Times New Roman" w:cs="Times New Roman"/>
                <w:color w:val="000000"/>
                <w:spacing w:val="-2"/>
                <w:sz w:val="24"/>
                <w:szCs w:val="24"/>
              </w:rPr>
              <w:br/>
            </w:r>
            <w:r w:rsidRPr="000E066E">
              <w:rPr>
                <w:rFonts w:ascii="Times New Roman" w:eastAsia="Times New Roman" w:hAnsi="Times New Roman" w:cs="Times New Roman"/>
                <w:color w:val="000000"/>
                <w:spacing w:val="-2"/>
                <w:sz w:val="24"/>
                <w:szCs w:val="24"/>
              </w:rPr>
              <w:t>и подписано усиленными квалифицированными электронными подписями лиц, имеющих право действовать от имени каждой из Сторон Соглашения.</w:t>
            </w: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76"/>
        </w:trPr>
        <w:tc>
          <w:tcPr>
            <w:tcW w:w="10065" w:type="dxa"/>
            <w:gridSpan w:val="3"/>
            <w:vMerge/>
            <w:shd w:val="clear" w:color="auto" w:fill="auto"/>
          </w:tcPr>
          <w:p w:rsidR="0031517D" w:rsidRPr="000E066E" w:rsidRDefault="0031517D">
            <w:pPr>
              <w:rPr>
                <w:rFonts w:ascii="Times New Roman" w:hAnsi="Times New Roman" w:cs="Times New Roman"/>
                <w:sz w:val="24"/>
                <w:szCs w:val="24"/>
              </w:rPr>
            </w:pPr>
          </w:p>
        </w:tc>
      </w:tr>
      <w:tr w:rsidR="0031517D" w:rsidRPr="000E066E" w:rsidTr="002050D1">
        <w:trPr>
          <w:trHeight w:val="215"/>
        </w:trPr>
        <w:tc>
          <w:tcPr>
            <w:tcW w:w="10065" w:type="dxa"/>
            <w:gridSpan w:val="3"/>
          </w:tcPr>
          <w:p w:rsidR="0031517D" w:rsidRPr="000E066E" w:rsidRDefault="0031517D">
            <w:pPr>
              <w:rPr>
                <w:rFonts w:ascii="Times New Roman" w:hAnsi="Times New Roman" w:cs="Times New Roman"/>
                <w:sz w:val="24"/>
                <w:szCs w:val="24"/>
              </w:rPr>
            </w:pPr>
          </w:p>
        </w:tc>
      </w:tr>
      <w:tr w:rsidR="0031517D" w:rsidRPr="000E066E" w:rsidTr="002050D1">
        <w:trPr>
          <w:trHeight w:val="343"/>
        </w:trPr>
        <w:tc>
          <w:tcPr>
            <w:tcW w:w="10065" w:type="dxa"/>
            <w:gridSpan w:val="3"/>
            <w:shd w:val="clear" w:color="auto" w:fill="auto"/>
            <w:tcMar>
              <w:right w:w="72" w:type="dxa"/>
            </w:tcMar>
            <w:vAlign w:val="center"/>
          </w:tcPr>
          <w:p w:rsidR="0031517D" w:rsidRPr="000E066E" w:rsidRDefault="007E5518">
            <w:pPr>
              <w:spacing w:line="232" w:lineRule="auto"/>
              <w:jc w:val="center"/>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VIII. Платежные реквизиты Сторон</w:t>
            </w:r>
          </w:p>
        </w:tc>
      </w:tr>
      <w:tr w:rsidR="0031517D" w:rsidRPr="000E066E" w:rsidTr="002050D1">
        <w:trPr>
          <w:trHeight w:val="230"/>
        </w:trPr>
        <w:tc>
          <w:tcPr>
            <w:tcW w:w="10065" w:type="dxa"/>
            <w:gridSpan w:val="3"/>
            <w:tcBorders>
              <w:bottom w:val="single" w:sz="5" w:space="0" w:color="696969"/>
            </w:tcBorders>
          </w:tcPr>
          <w:p w:rsidR="0031517D" w:rsidRPr="000E066E" w:rsidRDefault="0031517D">
            <w:pPr>
              <w:rPr>
                <w:rFonts w:ascii="Times New Roman" w:hAnsi="Times New Roman" w:cs="Times New Roman"/>
                <w:sz w:val="24"/>
                <w:szCs w:val="24"/>
              </w:rPr>
            </w:pPr>
          </w:p>
        </w:tc>
      </w:tr>
      <w:tr w:rsidR="0031517D" w:rsidRPr="000E066E" w:rsidTr="002050D1">
        <w:trPr>
          <w:trHeight w:val="473"/>
        </w:trPr>
        <w:tc>
          <w:tcPr>
            <w:tcW w:w="5416" w:type="dxa"/>
            <w:gridSpan w:val="2"/>
            <w:tcBorders>
              <w:top w:val="single" w:sz="5" w:space="0" w:color="696969"/>
              <w:left w:val="single" w:sz="5" w:space="0" w:color="696969"/>
              <w:bottom w:val="single" w:sz="5" w:space="0" w:color="696969"/>
              <w:right w:val="single" w:sz="5" w:space="0" w:color="696969"/>
            </w:tcBorders>
            <w:shd w:val="clear" w:color="auto" w:fill="auto"/>
            <w:tcMar>
              <w:top w:w="72" w:type="dxa"/>
              <w:left w:w="72" w:type="dxa"/>
              <w:right w:w="143" w:type="dxa"/>
            </w:tcMar>
            <w:vAlign w:val="center"/>
          </w:tcPr>
          <w:p w:rsidR="0031517D" w:rsidRPr="000E066E" w:rsidRDefault="007E5518">
            <w:pPr>
              <w:spacing w:line="232" w:lineRule="auto"/>
              <w:jc w:val="center"/>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МИНЗДРАВ РОССИИ</w:t>
            </w:r>
          </w:p>
        </w:tc>
        <w:tc>
          <w:tcPr>
            <w:tcW w:w="4649" w:type="dxa"/>
            <w:tcBorders>
              <w:top w:val="single" w:sz="5" w:space="0" w:color="696969"/>
              <w:left w:val="single" w:sz="5" w:space="0" w:color="696969"/>
              <w:bottom w:val="single" w:sz="5" w:space="0" w:color="696969"/>
              <w:right w:val="single" w:sz="5" w:space="0" w:color="696969"/>
            </w:tcBorders>
            <w:shd w:val="clear" w:color="auto" w:fill="auto"/>
            <w:tcMar>
              <w:top w:w="72" w:type="dxa"/>
              <w:left w:w="72" w:type="dxa"/>
              <w:right w:w="143" w:type="dxa"/>
            </w:tcMar>
            <w:vAlign w:val="center"/>
          </w:tcPr>
          <w:p w:rsidR="0031517D" w:rsidRPr="000E066E" w:rsidRDefault="007E5518">
            <w:pPr>
              <w:spacing w:line="232" w:lineRule="auto"/>
              <w:jc w:val="center"/>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Правительство Санкт-Петербурга</w:t>
            </w:r>
          </w:p>
        </w:tc>
      </w:tr>
      <w:tr w:rsidR="0031517D" w:rsidRPr="000E066E" w:rsidTr="002050D1">
        <w:trPr>
          <w:trHeight w:val="487"/>
        </w:trPr>
        <w:tc>
          <w:tcPr>
            <w:tcW w:w="5416" w:type="dxa"/>
            <w:gridSpan w:val="2"/>
            <w:tcBorders>
              <w:top w:val="single" w:sz="5" w:space="0" w:color="696969"/>
              <w:left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Место нахождения: </w:t>
            </w:r>
          </w:p>
        </w:tc>
        <w:tc>
          <w:tcPr>
            <w:tcW w:w="4649" w:type="dxa"/>
            <w:tcBorders>
              <w:top w:val="single" w:sz="5" w:space="0" w:color="696969"/>
              <w:left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Место нахождения: </w:t>
            </w:r>
          </w:p>
        </w:tc>
      </w:tr>
      <w:tr w:rsidR="0031517D" w:rsidRPr="000E066E" w:rsidTr="000E066E">
        <w:trPr>
          <w:trHeight w:val="607"/>
        </w:trPr>
        <w:tc>
          <w:tcPr>
            <w:tcW w:w="5416" w:type="dxa"/>
            <w:gridSpan w:val="2"/>
            <w:tcBorders>
              <w:left w:val="single" w:sz="5" w:space="0" w:color="696969"/>
              <w:bottom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127994, ГОРОД МОСКВА, ПЕРЕУЛОК РАХМАНОВСКИЙ, 3/25, СТР.1;2;3;4</w:t>
            </w:r>
          </w:p>
        </w:tc>
        <w:tc>
          <w:tcPr>
            <w:tcW w:w="4649" w:type="dxa"/>
            <w:tcBorders>
              <w:left w:val="single" w:sz="5" w:space="0" w:color="696969"/>
              <w:bottom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191060, г. Санкт-Петербург, Смольный</w:t>
            </w:r>
          </w:p>
        </w:tc>
      </w:tr>
      <w:tr w:rsidR="0031517D" w:rsidRPr="000E066E" w:rsidTr="002050D1">
        <w:trPr>
          <w:trHeight w:val="473"/>
        </w:trPr>
        <w:tc>
          <w:tcPr>
            <w:tcW w:w="5416" w:type="dxa"/>
            <w:gridSpan w:val="2"/>
            <w:tcBorders>
              <w:top w:val="single" w:sz="5" w:space="0" w:color="696969"/>
              <w:left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Банковские реквизиты: </w:t>
            </w:r>
          </w:p>
        </w:tc>
        <w:tc>
          <w:tcPr>
            <w:tcW w:w="4649" w:type="dxa"/>
            <w:tcBorders>
              <w:top w:val="single" w:sz="5" w:space="0" w:color="696969"/>
              <w:left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 xml:space="preserve">Банковские реквизиты: </w:t>
            </w:r>
          </w:p>
        </w:tc>
      </w:tr>
      <w:tr w:rsidR="0031517D" w:rsidRPr="000E066E" w:rsidTr="002050D1">
        <w:trPr>
          <w:trHeight w:val="487"/>
        </w:trPr>
        <w:tc>
          <w:tcPr>
            <w:tcW w:w="5416" w:type="dxa"/>
            <w:gridSpan w:val="2"/>
            <w:tcBorders>
              <w:left w:val="single" w:sz="5" w:space="0" w:color="696969"/>
              <w:right w:val="single" w:sz="5" w:space="0" w:color="696969"/>
            </w:tcBorders>
            <w:shd w:val="clear" w:color="auto" w:fill="auto"/>
            <w:tcMar>
              <w:top w:w="72" w:type="dxa"/>
              <w:left w:w="72" w:type="dxa"/>
              <w:right w:w="143" w:type="dxa"/>
            </w:tcMar>
          </w:tcPr>
          <w:p w:rsidR="0031517D" w:rsidRPr="000E066E" w:rsidRDefault="0031517D">
            <w:pPr>
              <w:rPr>
                <w:rFonts w:ascii="Times New Roman" w:hAnsi="Times New Roman" w:cs="Times New Roman"/>
                <w:sz w:val="24"/>
                <w:szCs w:val="24"/>
              </w:rPr>
            </w:pPr>
          </w:p>
        </w:tc>
        <w:tc>
          <w:tcPr>
            <w:tcW w:w="4649" w:type="dxa"/>
            <w:tcBorders>
              <w:left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БИК ТОФК 014030106</w:t>
            </w:r>
          </w:p>
        </w:tc>
      </w:tr>
      <w:tr w:rsidR="0031517D" w:rsidRPr="000E066E" w:rsidTr="002050D1">
        <w:trPr>
          <w:trHeight w:val="1104"/>
        </w:trPr>
        <w:tc>
          <w:tcPr>
            <w:tcW w:w="5416" w:type="dxa"/>
            <w:gridSpan w:val="2"/>
            <w:tcBorders>
              <w:left w:val="single" w:sz="5" w:space="0" w:color="696969"/>
              <w:right w:val="single" w:sz="5" w:space="0" w:color="696969"/>
            </w:tcBorders>
            <w:shd w:val="clear" w:color="auto" w:fill="auto"/>
            <w:tcMar>
              <w:top w:w="72" w:type="dxa"/>
              <w:left w:w="72" w:type="dxa"/>
              <w:right w:w="143" w:type="dxa"/>
            </w:tcMar>
          </w:tcPr>
          <w:p w:rsidR="0031517D" w:rsidRPr="000E066E" w:rsidRDefault="0031517D">
            <w:pPr>
              <w:rPr>
                <w:rFonts w:ascii="Times New Roman" w:hAnsi="Times New Roman" w:cs="Times New Roman"/>
                <w:sz w:val="24"/>
                <w:szCs w:val="24"/>
              </w:rPr>
            </w:pPr>
          </w:p>
        </w:tc>
        <w:tc>
          <w:tcPr>
            <w:tcW w:w="4649" w:type="dxa"/>
            <w:tcBorders>
              <w:left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Банк СЕВЕРО-ЗАПАДНОЕ ГУ БАНКА РОССИИ//УФК по г.Санкт-Петербургу г. Санкт-Петербург</w:t>
            </w:r>
          </w:p>
        </w:tc>
      </w:tr>
      <w:tr w:rsidR="0031517D" w:rsidRPr="000E066E" w:rsidTr="002050D1">
        <w:trPr>
          <w:trHeight w:val="802"/>
        </w:trPr>
        <w:tc>
          <w:tcPr>
            <w:tcW w:w="5416" w:type="dxa"/>
            <w:gridSpan w:val="2"/>
            <w:tcBorders>
              <w:left w:val="single" w:sz="5" w:space="0" w:color="696969"/>
              <w:right w:val="single" w:sz="5" w:space="0" w:color="696969"/>
            </w:tcBorders>
            <w:shd w:val="clear" w:color="auto" w:fill="auto"/>
            <w:tcMar>
              <w:top w:w="72" w:type="dxa"/>
              <w:left w:w="72" w:type="dxa"/>
              <w:right w:w="143" w:type="dxa"/>
            </w:tcMar>
          </w:tcPr>
          <w:p w:rsidR="0031517D" w:rsidRPr="000E066E" w:rsidRDefault="0031517D">
            <w:pPr>
              <w:rPr>
                <w:rFonts w:ascii="Times New Roman" w:hAnsi="Times New Roman" w:cs="Times New Roman"/>
                <w:sz w:val="24"/>
                <w:szCs w:val="24"/>
              </w:rPr>
            </w:pPr>
          </w:p>
        </w:tc>
        <w:tc>
          <w:tcPr>
            <w:tcW w:w="4649" w:type="dxa"/>
            <w:tcBorders>
              <w:left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Единый казначейский счет 40102810945370000005</w:t>
            </w:r>
          </w:p>
        </w:tc>
      </w:tr>
      <w:tr w:rsidR="0031517D" w:rsidRPr="000E066E" w:rsidTr="002050D1">
        <w:trPr>
          <w:trHeight w:val="473"/>
        </w:trPr>
        <w:tc>
          <w:tcPr>
            <w:tcW w:w="5416" w:type="dxa"/>
            <w:gridSpan w:val="2"/>
            <w:tcBorders>
              <w:left w:val="single" w:sz="5" w:space="0" w:color="696969"/>
              <w:right w:val="single" w:sz="5" w:space="0" w:color="696969"/>
            </w:tcBorders>
            <w:shd w:val="clear" w:color="auto" w:fill="auto"/>
            <w:tcMar>
              <w:top w:w="72" w:type="dxa"/>
              <w:left w:w="72" w:type="dxa"/>
              <w:right w:w="143" w:type="dxa"/>
            </w:tcMar>
          </w:tcPr>
          <w:p w:rsidR="0031517D" w:rsidRPr="000E066E" w:rsidRDefault="0031517D">
            <w:pPr>
              <w:rPr>
                <w:rFonts w:ascii="Times New Roman" w:hAnsi="Times New Roman" w:cs="Times New Roman"/>
                <w:sz w:val="24"/>
                <w:szCs w:val="24"/>
              </w:rPr>
            </w:pPr>
          </w:p>
        </w:tc>
        <w:tc>
          <w:tcPr>
            <w:tcW w:w="4649" w:type="dxa"/>
            <w:tcBorders>
              <w:left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Казначейский счет 03221643400000007200</w:t>
            </w:r>
          </w:p>
        </w:tc>
      </w:tr>
      <w:tr w:rsidR="0031517D" w:rsidRPr="000E066E" w:rsidTr="002050D1">
        <w:trPr>
          <w:trHeight w:val="487"/>
        </w:trPr>
        <w:tc>
          <w:tcPr>
            <w:tcW w:w="5416" w:type="dxa"/>
            <w:gridSpan w:val="2"/>
            <w:tcBorders>
              <w:left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л/с 14721000560</w:t>
            </w:r>
          </w:p>
        </w:tc>
        <w:tc>
          <w:tcPr>
            <w:tcW w:w="4649" w:type="dxa"/>
            <w:tcBorders>
              <w:left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л/с 04722001080</w:t>
            </w:r>
          </w:p>
        </w:tc>
      </w:tr>
      <w:tr w:rsidR="0031517D" w:rsidRPr="000E066E" w:rsidTr="002050D1">
        <w:trPr>
          <w:trHeight w:val="802"/>
        </w:trPr>
        <w:tc>
          <w:tcPr>
            <w:tcW w:w="5416" w:type="dxa"/>
            <w:gridSpan w:val="2"/>
            <w:tcBorders>
              <w:left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Управление Федерального казначейства по г. Санкт-Петербургу</w:t>
            </w:r>
          </w:p>
        </w:tc>
        <w:tc>
          <w:tcPr>
            <w:tcW w:w="4649" w:type="dxa"/>
            <w:tcBorders>
              <w:left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Управление Федерального казначейства по г. Санкт-Петербургу</w:t>
            </w:r>
          </w:p>
        </w:tc>
      </w:tr>
      <w:tr w:rsidR="0031517D" w:rsidRPr="000E066E" w:rsidTr="002050D1">
        <w:trPr>
          <w:trHeight w:val="473"/>
        </w:trPr>
        <w:tc>
          <w:tcPr>
            <w:tcW w:w="5416" w:type="dxa"/>
            <w:gridSpan w:val="2"/>
            <w:tcBorders>
              <w:left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ИНН 7707778246</w:t>
            </w:r>
          </w:p>
        </w:tc>
        <w:tc>
          <w:tcPr>
            <w:tcW w:w="4649" w:type="dxa"/>
            <w:tcBorders>
              <w:left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ИНН 7808043833</w:t>
            </w:r>
          </w:p>
        </w:tc>
      </w:tr>
      <w:tr w:rsidR="0031517D" w:rsidRPr="000E066E" w:rsidTr="002050D1">
        <w:trPr>
          <w:trHeight w:val="487"/>
        </w:trPr>
        <w:tc>
          <w:tcPr>
            <w:tcW w:w="5416" w:type="dxa"/>
            <w:gridSpan w:val="2"/>
            <w:tcBorders>
              <w:left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КПП 770701001</w:t>
            </w:r>
          </w:p>
        </w:tc>
        <w:tc>
          <w:tcPr>
            <w:tcW w:w="4649" w:type="dxa"/>
            <w:tcBorders>
              <w:left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КПП 784101001</w:t>
            </w:r>
          </w:p>
        </w:tc>
      </w:tr>
      <w:tr w:rsidR="0031517D" w:rsidRPr="000E066E" w:rsidTr="002050D1">
        <w:trPr>
          <w:trHeight w:val="473"/>
        </w:trPr>
        <w:tc>
          <w:tcPr>
            <w:tcW w:w="5416" w:type="dxa"/>
            <w:gridSpan w:val="2"/>
            <w:tcBorders>
              <w:left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ОГРН 1127746460896</w:t>
            </w:r>
          </w:p>
        </w:tc>
        <w:tc>
          <w:tcPr>
            <w:tcW w:w="4649" w:type="dxa"/>
            <w:tcBorders>
              <w:left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ОГРН 1037843003285</w:t>
            </w:r>
          </w:p>
        </w:tc>
      </w:tr>
      <w:tr w:rsidR="0031517D" w:rsidRPr="000E066E" w:rsidTr="002050D1">
        <w:trPr>
          <w:trHeight w:val="487"/>
        </w:trPr>
        <w:tc>
          <w:tcPr>
            <w:tcW w:w="5416" w:type="dxa"/>
            <w:gridSpan w:val="2"/>
            <w:tcBorders>
              <w:left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ОКТМО 45382000</w:t>
            </w:r>
          </w:p>
        </w:tc>
        <w:tc>
          <w:tcPr>
            <w:tcW w:w="4649" w:type="dxa"/>
            <w:tcBorders>
              <w:left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ОКТМО 40908000</w:t>
            </w:r>
          </w:p>
        </w:tc>
      </w:tr>
      <w:tr w:rsidR="0031517D" w:rsidRPr="000E066E" w:rsidTr="000E066E">
        <w:trPr>
          <w:trHeight w:val="313"/>
        </w:trPr>
        <w:tc>
          <w:tcPr>
            <w:tcW w:w="5416" w:type="dxa"/>
            <w:gridSpan w:val="2"/>
            <w:tcBorders>
              <w:left w:val="single" w:sz="5" w:space="0" w:color="696969"/>
              <w:bottom w:val="single" w:sz="5" w:space="0" w:color="696969"/>
              <w:right w:val="single" w:sz="5" w:space="0" w:color="696969"/>
            </w:tcBorders>
            <w:shd w:val="clear" w:color="auto" w:fill="auto"/>
            <w:tcMar>
              <w:top w:w="72" w:type="dxa"/>
              <w:left w:w="72" w:type="dxa"/>
              <w:right w:w="143" w:type="dxa"/>
            </w:tcMar>
          </w:tcPr>
          <w:p w:rsidR="0031517D" w:rsidRPr="000E066E" w:rsidRDefault="0031517D">
            <w:pPr>
              <w:rPr>
                <w:rFonts w:ascii="Times New Roman" w:hAnsi="Times New Roman" w:cs="Times New Roman"/>
                <w:sz w:val="24"/>
                <w:szCs w:val="24"/>
              </w:rPr>
            </w:pPr>
          </w:p>
        </w:tc>
        <w:tc>
          <w:tcPr>
            <w:tcW w:w="4649" w:type="dxa"/>
            <w:tcBorders>
              <w:left w:val="single" w:sz="5" w:space="0" w:color="696969"/>
              <w:bottom w:val="single" w:sz="5" w:space="0" w:color="696969"/>
              <w:right w:val="single" w:sz="5" w:space="0" w:color="696969"/>
            </w:tcBorders>
            <w:shd w:val="clear" w:color="auto" w:fill="auto"/>
            <w:tcMar>
              <w:top w:w="72" w:type="dxa"/>
              <w:left w:w="72" w:type="dxa"/>
              <w:right w:w="143" w:type="dxa"/>
            </w:tcMar>
          </w:tcPr>
          <w:p w:rsidR="0031517D" w:rsidRPr="000E066E" w:rsidRDefault="007E5518">
            <w:pPr>
              <w:spacing w:line="232" w:lineRule="auto"/>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КБК доходов 816 2 02 45406 02 0000 150</w:t>
            </w:r>
          </w:p>
        </w:tc>
      </w:tr>
      <w:tr w:rsidR="0031517D" w:rsidRPr="000E066E" w:rsidTr="002050D1">
        <w:trPr>
          <w:trHeight w:val="330"/>
        </w:trPr>
        <w:tc>
          <w:tcPr>
            <w:tcW w:w="10065" w:type="dxa"/>
            <w:gridSpan w:val="3"/>
            <w:shd w:val="clear" w:color="auto" w:fill="auto"/>
            <w:tcMar>
              <w:right w:w="72" w:type="dxa"/>
            </w:tcMar>
            <w:vAlign w:val="center"/>
          </w:tcPr>
          <w:p w:rsidR="0031517D" w:rsidRPr="000E066E" w:rsidRDefault="007E5518">
            <w:pPr>
              <w:spacing w:line="232" w:lineRule="auto"/>
              <w:jc w:val="center"/>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IX. Подписи Сторон</w:t>
            </w:r>
          </w:p>
        </w:tc>
      </w:tr>
      <w:tr w:rsidR="0031517D" w:rsidRPr="000E066E" w:rsidTr="002050D1">
        <w:trPr>
          <w:trHeight w:val="229"/>
        </w:trPr>
        <w:tc>
          <w:tcPr>
            <w:tcW w:w="10065" w:type="dxa"/>
            <w:gridSpan w:val="3"/>
            <w:tcBorders>
              <w:bottom w:val="single" w:sz="5" w:space="0" w:color="696969"/>
            </w:tcBorders>
          </w:tcPr>
          <w:p w:rsidR="0031517D" w:rsidRPr="000E066E" w:rsidRDefault="0031517D">
            <w:pPr>
              <w:rPr>
                <w:rFonts w:ascii="Times New Roman" w:hAnsi="Times New Roman" w:cs="Times New Roman"/>
                <w:sz w:val="24"/>
                <w:szCs w:val="24"/>
              </w:rPr>
            </w:pPr>
          </w:p>
        </w:tc>
      </w:tr>
      <w:tr w:rsidR="0031517D" w:rsidRPr="000E066E" w:rsidTr="000E066E">
        <w:trPr>
          <w:trHeight w:val="373"/>
        </w:trPr>
        <w:tc>
          <w:tcPr>
            <w:tcW w:w="5301" w:type="dxa"/>
            <w:tcBorders>
              <w:top w:val="single" w:sz="5" w:space="0" w:color="696969"/>
              <w:left w:val="single" w:sz="5" w:space="0" w:color="696969"/>
              <w:bottom w:val="single" w:sz="5" w:space="0" w:color="696969"/>
              <w:right w:val="single" w:sz="5" w:space="0" w:color="696969"/>
            </w:tcBorders>
            <w:shd w:val="clear" w:color="auto" w:fill="auto"/>
            <w:tcMar>
              <w:right w:w="72" w:type="dxa"/>
            </w:tcMar>
            <w:vAlign w:val="center"/>
          </w:tcPr>
          <w:p w:rsidR="0031517D" w:rsidRPr="000E066E" w:rsidRDefault="007E5518">
            <w:pPr>
              <w:spacing w:line="232" w:lineRule="auto"/>
              <w:jc w:val="center"/>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МИНЗДРАВ РОССИИ</w:t>
            </w:r>
          </w:p>
        </w:tc>
        <w:tc>
          <w:tcPr>
            <w:tcW w:w="4764" w:type="dxa"/>
            <w:gridSpan w:val="2"/>
            <w:tcBorders>
              <w:top w:val="single" w:sz="5" w:space="0" w:color="696969"/>
              <w:left w:val="single" w:sz="5" w:space="0" w:color="696969"/>
              <w:bottom w:val="single" w:sz="5" w:space="0" w:color="696969"/>
              <w:right w:val="single" w:sz="5" w:space="0" w:color="696969"/>
            </w:tcBorders>
            <w:shd w:val="clear" w:color="auto" w:fill="auto"/>
            <w:tcMar>
              <w:right w:w="72" w:type="dxa"/>
            </w:tcMar>
            <w:vAlign w:val="center"/>
          </w:tcPr>
          <w:p w:rsidR="0031517D" w:rsidRPr="000E066E" w:rsidRDefault="007E5518">
            <w:pPr>
              <w:spacing w:line="232" w:lineRule="auto"/>
              <w:jc w:val="center"/>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Правительство Санкт-Петербурга</w:t>
            </w:r>
          </w:p>
        </w:tc>
      </w:tr>
      <w:tr w:rsidR="0031517D" w:rsidRPr="000E066E" w:rsidTr="000E066E">
        <w:trPr>
          <w:trHeight w:val="649"/>
        </w:trPr>
        <w:tc>
          <w:tcPr>
            <w:tcW w:w="5301" w:type="dxa"/>
            <w:tcBorders>
              <w:top w:val="single" w:sz="5" w:space="0" w:color="696969"/>
              <w:left w:val="single" w:sz="5" w:space="0" w:color="696969"/>
              <w:bottom w:val="single" w:sz="5" w:space="0" w:color="696969"/>
              <w:right w:val="single" w:sz="5" w:space="0" w:color="696969"/>
            </w:tcBorders>
            <w:shd w:val="clear" w:color="auto" w:fill="auto"/>
            <w:tcMar>
              <w:right w:w="72" w:type="dxa"/>
            </w:tcMar>
            <w:vAlign w:val="center"/>
          </w:tcPr>
          <w:p w:rsidR="0031517D" w:rsidRPr="000E066E" w:rsidRDefault="007E5518">
            <w:pPr>
              <w:spacing w:line="232" w:lineRule="auto"/>
              <w:jc w:val="center"/>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_____________/Е.Г. Камкин</w:t>
            </w:r>
          </w:p>
        </w:tc>
        <w:tc>
          <w:tcPr>
            <w:tcW w:w="4764" w:type="dxa"/>
            <w:gridSpan w:val="2"/>
            <w:tcBorders>
              <w:top w:val="single" w:sz="5" w:space="0" w:color="696969"/>
              <w:left w:val="single" w:sz="5" w:space="0" w:color="696969"/>
              <w:bottom w:val="single" w:sz="5" w:space="0" w:color="696969"/>
              <w:right w:val="single" w:sz="5" w:space="0" w:color="696969"/>
            </w:tcBorders>
            <w:shd w:val="clear" w:color="auto" w:fill="auto"/>
            <w:tcMar>
              <w:right w:w="72" w:type="dxa"/>
            </w:tcMar>
            <w:vAlign w:val="center"/>
          </w:tcPr>
          <w:p w:rsidR="0031517D" w:rsidRPr="000E066E" w:rsidRDefault="007E5518">
            <w:pPr>
              <w:spacing w:line="232" w:lineRule="auto"/>
              <w:jc w:val="center"/>
              <w:rPr>
                <w:rFonts w:ascii="Times New Roman" w:eastAsia="Times New Roman" w:hAnsi="Times New Roman" w:cs="Times New Roman"/>
                <w:color w:val="000000"/>
                <w:spacing w:val="-2"/>
                <w:sz w:val="24"/>
                <w:szCs w:val="24"/>
              </w:rPr>
            </w:pPr>
            <w:r w:rsidRPr="000E066E">
              <w:rPr>
                <w:rFonts w:ascii="Times New Roman" w:eastAsia="Times New Roman" w:hAnsi="Times New Roman" w:cs="Times New Roman"/>
                <w:color w:val="000000"/>
                <w:spacing w:val="-2"/>
                <w:sz w:val="24"/>
                <w:szCs w:val="24"/>
              </w:rPr>
              <w:t>_____________/О.Н. Эргашев</w:t>
            </w:r>
          </w:p>
        </w:tc>
      </w:tr>
    </w:tbl>
    <w:p w:rsidR="007E5518" w:rsidRPr="000E066E" w:rsidRDefault="007E5518" w:rsidP="000E066E">
      <w:pPr>
        <w:rPr>
          <w:rFonts w:ascii="Times New Roman" w:hAnsi="Times New Roman" w:cs="Times New Roman"/>
          <w:sz w:val="24"/>
          <w:szCs w:val="24"/>
        </w:rPr>
      </w:pPr>
    </w:p>
    <w:sectPr w:rsidR="007E5518" w:rsidRPr="000E066E" w:rsidSect="000E066E">
      <w:headerReference w:type="default" r:id="rId8"/>
      <w:footerReference w:type="default" r:id="rId9"/>
      <w:pgSz w:w="11906" w:h="16838"/>
      <w:pgMar w:top="0" w:right="849" w:bottom="572" w:left="993" w:header="567" w:footer="57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2D3" w:rsidRDefault="00D372D3">
      <w:r>
        <w:separator/>
      </w:r>
    </w:p>
  </w:endnote>
  <w:endnote w:type="continuationSeparator" w:id="0">
    <w:p w:rsidR="00D372D3" w:rsidRDefault="00D37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17D" w:rsidRDefault="007E551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2D3" w:rsidRDefault="00D372D3">
      <w:r>
        <w:separator/>
      </w:r>
    </w:p>
  </w:footnote>
  <w:footnote w:type="continuationSeparator" w:id="0">
    <w:p w:rsidR="00D372D3" w:rsidRDefault="00D372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17D" w:rsidRDefault="007E5518">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C4AA8"/>
    <w:multiLevelType w:val="multilevel"/>
    <w:tmpl w:val="A7D632A8"/>
    <w:lvl w:ilvl="0">
      <w:start w:val="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17D"/>
    <w:rsid w:val="000E066E"/>
    <w:rsid w:val="002050D1"/>
    <w:rsid w:val="0031517D"/>
    <w:rsid w:val="00667D3E"/>
    <w:rsid w:val="007E5518"/>
    <w:rsid w:val="00D372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50D1"/>
    <w:pPr>
      <w:widowControl w:val="0"/>
      <w:autoSpaceDE w:val="0"/>
      <w:autoSpaceDN w:val="0"/>
      <w:spacing w:after="0" w:line="240" w:lineRule="auto"/>
    </w:pPr>
    <w:rPr>
      <w:rFonts w:ascii="Times New Roman" w:hAnsi="Times New Roman" w:cs="Times New Roman"/>
      <w:sz w:val="24"/>
    </w:rPr>
  </w:style>
  <w:style w:type="paragraph" w:styleId="a3">
    <w:name w:val="List Paragraph"/>
    <w:basedOn w:val="a"/>
    <w:uiPriority w:val="34"/>
    <w:qFormat/>
    <w:rsid w:val="000E066E"/>
    <w:pPr>
      <w:ind w:left="720"/>
      <w:contextualSpacing/>
    </w:pPr>
  </w:style>
  <w:style w:type="paragraph" w:styleId="a4">
    <w:name w:val="Balloon Text"/>
    <w:basedOn w:val="a"/>
    <w:link w:val="a5"/>
    <w:uiPriority w:val="99"/>
    <w:semiHidden/>
    <w:unhideWhenUsed/>
    <w:rsid w:val="000E066E"/>
    <w:rPr>
      <w:rFonts w:ascii="Tahoma" w:hAnsi="Tahoma" w:cs="Tahoma"/>
      <w:sz w:val="16"/>
      <w:szCs w:val="16"/>
    </w:rPr>
  </w:style>
  <w:style w:type="character" w:customStyle="1" w:styleId="a5">
    <w:name w:val="Текст выноски Знак"/>
    <w:basedOn w:val="a0"/>
    <w:link w:val="a4"/>
    <w:uiPriority w:val="99"/>
    <w:semiHidden/>
    <w:rsid w:val="000E06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50D1"/>
    <w:pPr>
      <w:widowControl w:val="0"/>
      <w:autoSpaceDE w:val="0"/>
      <w:autoSpaceDN w:val="0"/>
      <w:spacing w:after="0" w:line="240" w:lineRule="auto"/>
    </w:pPr>
    <w:rPr>
      <w:rFonts w:ascii="Times New Roman" w:hAnsi="Times New Roman" w:cs="Times New Roman"/>
      <w:sz w:val="24"/>
    </w:rPr>
  </w:style>
  <w:style w:type="paragraph" w:styleId="a3">
    <w:name w:val="List Paragraph"/>
    <w:basedOn w:val="a"/>
    <w:uiPriority w:val="34"/>
    <w:qFormat/>
    <w:rsid w:val="000E066E"/>
    <w:pPr>
      <w:ind w:left="720"/>
      <w:contextualSpacing/>
    </w:pPr>
  </w:style>
  <w:style w:type="paragraph" w:styleId="a4">
    <w:name w:val="Balloon Text"/>
    <w:basedOn w:val="a"/>
    <w:link w:val="a5"/>
    <w:uiPriority w:val="99"/>
    <w:semiHidden/>
    <w:unhideWhenUsed/>
    <w:rsid w:val="000E066E"/>
    <w:rPr>
      <w:rFonts w:ascii="Tahoma" w:hAnsi="Tahoma" w:cs="Tahoma"/>
      <w:sz w:val="16"/>
      <w:szCs w:val="16"/>
    </w:rPr>
  </w:style>
  <w:style w:type="character" w:customStyle="1" w:styleId="a5">
    <w:name w:val="Текст выноски Знак"/>
    <w:basedOn w:val="a0"/>
    <w:link w:val="a4"/>
    <w:uiPriority w:val="99"/>
    <w:semiHidden/>
    <w:rsid w:val="000E06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7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2671</Words>
  <Characters>15231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Report</vt:lpstr>
    </vt:vector>
  </TitlesOfParts>
  <Company>Stimulsoft Reports 2016.2.0 from 23 September 2016</Company>
  <LinksUpToDate>false</LinksUpToDate>
  <CharactersWithSpaces>17867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Report</dc:subject>
  <dc:creator>Виталюева Мария Александровна</dc:creator>
  <cp:lastModifiedBy>Рябинина Ольга Николаевна</cp:lastModifiedBy>
  <cp:revision>2</cp:revision>
  <cp:lastPrinted>2023-06-20T18:37:00Z</cp:lastPrinted>
  <dcterms:created xsi:type="dcterms:W3CDTF">2023-06-21T13:16:00Z</dcterms:created>
  <dcterms:modified xsi:type="dcterms:W3CDTF">2023-06-21T13:16:00Z</dcterms:modified>
</cp:coreProperties>
</file>