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C1" w:rsidRDefault="00CE2CC1" w:rsidP="00C71461">
      <w:pPr>
        <w:widowControl w:val="0"/>
      </w:pPr>
    </w:p>
    <w:p w:rsidR="00693995" w:rsidRPr="00022858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693995" w:rsidRPr="00022858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93995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7C2B34">
        <w:rPr>
          <w:b/>
        </w:rPr>
        <w:t>4</w:t>
      </w:r>
      <w:r w:rsidRPr="00022858">
        <w:rPr>
          <w:b/>
        </w:rPr>
        <w:t xml:space="preserve"> квартал 20</w:t>
      </w:r>
      <w:r w:rsidR="0015099E">
        <w:rPr>
          <w:b/>
        </w:rPr>
        <w:t>20</w:t>
      </w:r>
      <w:r w:rsidRPr="00022858">
        <w:rPr>
          <w:b/>
        </w:rPr>
        <w:t xml:space="preserve"> года</w:t>
      </w:r>
    </w:p>
    <w:p w:rsidR="00693995" w:rsidRDefault="00693995" w:rsidP="00693995">
      <w:pPr>
        <w:pStyle w:val="a3"/>
        <w:ind w:firstLine="283"/>
        <w:jc w:val="both"/>
        <w:rPr>
          <w:b w:val="0"/>
          <w:sz w:val="24"/>
          <w:szCs w:val="24"/>
        </w:rPr>
      </w:pPr>
    </w:p>
    <w:p w:rsidR="0015099E" w:rsidRPr="00E573F3" w:rsidRDefault="0015099E" w:rsidP="0015099E">
      <w:pPr>
        <w:ind w:firstLine="709"/>
        <w:jc w:val="both"/>
        <w:rPr>
          <w:sz w:val="18"/>
        </w:rPr>
      </w:pPr>
      <w:r w:rsidRPr="00E573F3">
        <w:t xml:space="preserve">За </w:t>
      </w:r>
      <w:r w:rsidR="007C2B34">
        <w:t>4</w:t>
      </w:r>
      <w:r w:rsidRPr="00E573F3">
        <w:t xml:space="preserve"> квартал 20</w:t>
      </w:r>
      <w:r>
        <w:t>20</w:t>
      </w:r>
      <w:r w:rsidRPr="00E573F3">
        <w:t xml:space="preserve"> года</w:t>
      </w:r>
      <w:r w:rsidR="00FD462A">
        <w:t xml:space="preserve"> </w:t>
      </w:r>
      <w:r w:rsidRPr="00E573F3">
        <w:t xml:space="preserve">в сектор приема граждан и юридических лиц администрации Калининского района поступило </w:t>
      </w:r>
      <w:r>
        <w:t>2</w:t>
      </w:r>
      <w:r w:rsidR="007C2B34">
        <w:t>268</w:t>
      </w:r>
      <w:r w:rsidRPr="00E573F3">
        <w:t xml:space="preserve"> обращени</w:t>
      </w:r>
      <w:r>
        <w:t>й</w:t>
      </w:r>
      <w:r w:rsidRPr="00E573F3">
        <w:t xml:space="preserve"> граждан и юридических лиц</w:t>
      </w:r>
      <w:r w:rsidR="00524288">
        <w:br/>
      </w:r>
      <w:r>
        <w:t>(2</w:t>
      </w:r>
      <w:r w:rsidR="007C2B34">
        <w:t>2</w:t>
      </w:r>
      <w:r w:rsidR="00FD462A">
        <w:t>9</w:t>
      </w:r>
      <w:r w:rsidR="007C2B34">
        <w:t>6</w:t>
      </w:r>
      <w:r>
        <w:t xml:space="preserve"> вопросов)</w:t>
      </w:r>
      <w:r w:rsidRPr="00E573F3">
        <w:t xml:space="preserve">, что на </w:t>
      </w:r>
      <w:r w:rsidR="007C2B34">
        <w:t>48</w:t>
      </w:r>
      <w:r>
        <w:t xml:space="preserve"> </w:t>
      </w:r>
      <w:r w:rsidRPr="00E573F3">
        <w:t>обращени</w:t>
      </w:r>
      <w:r w:rsidR="007C2B34">
        <w:t>й</w:t>
      </w:r>
      <w:r w:rsidR="00FD462A">
        <w:t xml:space="preserve"> </w:t>
      </w:r>
      <w:r w:rsidR="007C2B34">
        <w:t>больше</w:t>
      </w:r>
      <w:r w:rsidRPr="00E573F3">
        <w:t>, чем за аналогичный период 201</w:t>
      </w:r>
      <w:r>
        <w:t>9</w:t>
      </w:r>
      <w:r w:rsidRPr="00E573F3">
        <w:t xml:space="preserve"> года</w:t>
      </w:r>
      <w:r>
        <w:t xml:space="preserve"> (2</w:t>
      </w:r>
      <w:r w:rsidR="007C2B34">
        <w:t>220</w:t>
      </w:r>
      <w:r>
        <w:t>)</w:t>
      </w:r>
      <w:r w:rsidRPr="00E573F3">
        <w:t>.</w:t>
      </w:r>
    </w:p>
    <w:p w:rsidR="0015099E" w:rsidRPr="00E573F3" w:rsidRDefault="0015099E" w:rsidP="0015099E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4"/>
        </w:rPr>
        <w:t xml:space="preserve">Письменно поступило </w:t>
      </w:r>
      <w:r>
        <w:rPr>
          <w:b w:val="0"/>
          <w:sz w:val="24"/>
        </w:rPr>
        <w:t>2</w:t>
      </w:r>
      <w:r w:rsidR="007C2B34">
        <w:rPr>
          <w:b w:val="0"/>
          <w:sz w:val="24"/>
        </w:rPr>
        <w:t>228</w:t>
      </w:r>
      <w:r w:rsidR="00FD462A">
        <w:rPr>
          <w:b w:val="0"/>
          <w:sz w:val="24"/>
        </w:rPr>
        <w:t xml:space="preserve"> </w:t>
      </w:r>
      <w:r w:rsidRPr="00E573F3">
        <w:rPr>
          <w:b w:val="0"/>
          <w:sz w:val="24"/>
        </w:rPr>
        <w:t>обращени</w:t>
      </w:r>
      <w:r w:rsidR="00FD462A"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 w:rsidR="007C2B34">
        <w:rPr>
          <w:b w:val="0"/>
          <w:sz w:val="24"/>
        </w:rPr>
        <w:t>40</w:t>
      </w:r>
      <w:r>
        <w:rPr>
          <w:b w:val="0"/>
          <w:sz w:val="24"/>
        </w:rPr>
        <w:t xml:space="preserve"> обращени</w:t>
      </w:r>
      <w:r w:rsidR="00FD462A"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. По результатам рассмотрения обращений граждан </w:t>
      </w:r>
      <w:r w:rsidR="007C2B34">
        <w:rPr>
          <w:b w:val="0"/>
          <w:sz w:val="24"/>
        </w:rPr>
        <w:br/>
      </w:r>
      <w:r w:rsidRPr="00E573F3">
        <w:rPr>
          <w:b w:val="0"/>
          <w:sz w:val="24"/>
        </w:rPr>
        <w:t xml:space="preserve">и юридических лиц: </w:t>
      </w:r>
    </w:p>
    <w:p w:rsidR="0015099E" w:rsidRPr="00E573F3" w:rsidRDefault="0015099E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>
        <w:t>1</w:t>
      </w:r>
      <w:r w:rsidR="00EC0A1F">
        <w:t>3</w:t>
      </w:r>
      <w:r w:rsidR="007C2B34">
        <w:t>1</w:t>
      </w:r>
      <w:r>
        <w:t xml:space="preserve"> </w:t>
      </w:r>
      <w:r w:rsidRPr="00E573F3">
        <w:t>приняты положительные решения</w:t>
      </w:r>
    </w:p>
    <w:p w:rsidR="0015099E" w:rsidRPr="00E573F3" w:rsidRDefault="0015099E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>1</w:t>
      </w:r>
      <w:r w:rsidR="007C2B34">
        <w:t>969</w:t>
      </w:r>
      <w:r>
        <w:t xml:space="preserve"> </w:t>
      </w:r>
      <w:r w:rsidRPr="00E573F3">
        <w:t>даны разъяснения в соответствии с действующим законодательством</w:t>
      </w:r>
    </w:p>
    <w:p w:rsidR="0015099E" w:rsidRDefault="0015099E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7C2B34">
        <w:t>6</w:t>
      </w:r>
      <w:r w:rsidRPr="00E573F3">
        <w:t xml:space="preserve"> обращени</w:t>
      </w:r>
      <w:r>
        <w:t>й</w:t>
      </w:r>
      <w:r w:rsidRPr="00E573F3">
        <w:t xml:space="preserve"> даны мотивированные отказы </w:t>
      </w:r>
    </w:p>
    <w:p w:rsidR="0015099E" w:rsidRDefault="0015099E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 xml:space="preserve">направлено по компетенции </w:t>
      </w:r>
      <w:r w:rsidR="007C2B34">
        <w:t>346</w:t>
      </w:r>
      <w:r>
        <w:t xml:space="preserve"> обращений</w:t>
      </w:r>
    </w:p>
    <w:p w:rsidR="0015099E" w:rsidRDefault="007C2B34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2</w:t>
      </w:r>
      <w:r w:rsidR="00EC0A1F">
        <w:t>1</w:t>
      </w:r>
      <w:r w:rsidR="0015099E">
        <w:t xml:space="preserve"> </w:t>
      </w:r>
      <w:r w:rsidR="0015099E" w:rsidRPr="00E573F3">
        <w:t>обращени</w:t>
      </w:r>
      <w:r>
        <w:t>е</w:t>
      </w:r>
      <w:r w:rsidR="0015099E" w:rsidRPr="00E573F3">
        <w:t xml:space="preserve"> наход</w:t>
      </w:r>
      <w:r w:rsidR="0015099E">
        <w:t>и</w:t>
      </w:r>
      <w:r w:rsidR="0015099E" w:rsidRPr="00E573F3">
        <w:t xml:space="preserve">тся на рассмотрении в структурных подразделениях </w:t>
      </w:r>
      <w:r>
        <w:br/>
      </w:r>
      <w:r w:rsidR="0015099E" w:rsidRPr="00E573F3">
        <w:t xml:space="preserve">и подведомственных организациях администрации  </w:t>
      </w:r>
    </w:p>
    <w:p w:rsidR="0015099E" w:rsidRPr="00E573F3" w:rsidRDefault="0015099E" w:rsidP="0015099E">
      <w:pPr>
        <w:widowControl w:val="0"/>
        <w:ind w:firstLine="709"/>
        <w:jc w:val="both"/>
      </w:pPr>
      <w:r w:rsidRPr="00E573F3">
        <w:t>По результатам рассмотрения обращений граждан и юридических лиц количество обращений, рассмотренных в сроки до 5 и 15 дней</w:t>
      </w:r>
      <w:r w:rsidR="007C2B34">
        <w:t xml:space="preserve"> в 4 квартале отчетного года</w:t>
      </w:r>
      <w:r w:rsidRPr="00E573F3">
        <w:t xml:space="preserve">, следующее: </w:t>
      </w:r>
    </w:p>
    <w:p w:rsidR="0015099E" w:rsidRPr="00945CD1" w:rsidRDefault="0015099E" w:rsidP="0015099E">
      <w:pPr>
        <w:rPr>
          <w:color w:val="C00000"/>
        </w:rPr>
      </w:pPr>
    </w:p>
    <w:tbl>
      <w:tblPr>
        <w:tblW w:w="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15099E" w:rsidRPr="005158F3" w:rsidTr="0015099E">
        <w:trPr>
          <w:jc w:val="center"/>
        </w:trPr>
        <w:tc>
          <w:tcPr>
            <w:tcW w:w="2820" w:type="dxa"/>
            <w:shd w:val="clear" w:color="auto" w:fill="auto"/>
          </w:tcPr>
          <w:p w:rsidR="0015099E" w:rsidRPr="005158F3" w:rsidRDefault="0015099E" w:rsidP="0015099E"/>
        </w:tc>
        <w:tc>
          <w:tcPr>
            <w:tcW w:w="1474" w:type="dxa"/>
            <w:shd w:val="clear" w:color="auto" w:fill="auto"/>
          </w:tcPr>
          <w:p w:rsidR="0015099E" w:rsidRPr="0097073F" w:rsidRDefault="0015099E" w:rsidP="0015099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74" w:type="dxa"/>
            <w:shd w:val="clear" w:color="auto" w:fill="auto"/>
          </w:tcPr>
          <w:p w:rsidR="0015099E" w:rsidRPr="0097073F" w:rsidRDefault="0015099E" w:rsidP="0015099E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</w:tr>
      <w:tr w:rsidR="00EC0A1F" w:rsidRPr="005158F3" w:rsidTr="0015099E">
        <w:trPr>
          <w:jc w:val="center"/>
        </w:trPr>
        <w:tc>
          <w:tcPr>
            <w:tcW w:w="2820" w:type="dxa"/>
            <w:shd w:val="clear" w:color="auto" w:fill="auto"/>
          </w:tcPr>
          <w:p w:rsidR="00EC0A1F" w:rsidRPr="005158F3" w:rsidRDefault="00EC0A1F" w:rsidP="0015099E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EC0A1F" w:rsidRPr="003226E3" w:rsidRDefault="00EC0A1F" w:rsidP="007C2B34">
            <w:pPr>
              <w:jc w:val="center"/>
            </w:pPr>
            <w:r>
              <w:t>2</w:t>
            </w:r>
            <w:r w:rsidR="007C2B34">
              <w:t>94</w:t>
            </w:r>
          </w:p>
        </w:tc>
        <w:tc>
          <w:tcPr>
            <w:tcW w:w="1474" w:type="dxa"/>
            <w:shd w:val="clear" w:color="auto" w:fill="auto"/>
          </w:tcPr>
          <w:p w:rsidR="00EC0A1F" w:rsidRPr="003226E3" w:rsidRDefault="00EC0A1F" w:rsidP="00EC0A1F">
            <w:pPr>
              <w:jc w:val="center"/>
            </w:pPr>
            <w:r>
              <w:t>160</w:t>
            </w:r>
          </w:p>
        </w:tc>
      </w:tr>
      <w:tr w:rsidR="00EC0A1F" w:rsidRPr="005158F3" w:rsidTr="0015099E">
        <w:trPr>
          <w:jc w:val="center"/>
        </w:trPr>
        <w:tc>
          <w:tcPr>
            <w:tcW w:w="2820" w:type="dxa"/>
            <w:shd w:val="clear" w:color="auto" w:fill="auto"/>
          </w:tcPr>
          <w:p w:rsidR="00EC0A1F" w:rsidRPr="005158F3" w:rsidRDefault="00EC0A1F" w:rsidP="0015099E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EC0A1F" w:rsidRPr="003226E3" w:rsidRDefault="007C2B34" w:rsidP="007C2B34">
            <w:pPr>
              <w:jc w:val="center"/>
            </w:pPr>
            <w:r>
              <w:t>579</w:t>
            </w:r>
          </w:p>
        </w:tc>
        <w:tc>
          <w:tcPr>
            <w:tcW w:w="1474" w:type="dxa"/>
            <w:shd w:val="clear" w:color="auto" w:fill="auto"/>
          </w:tcPr>
          <w:p w:rsidR="00EC0A1F" w:rsidRPr="003226E3" w:rsidRDefault="00EC0A1F" w:rsidP="00EC0A1F">
            <w:pPr>
              <w:jc w:val="center"/>
            </w:pPr>
            <w:r>
              <w:t>406</w:t>
            </w:r>
          </w:p>
        </w:tc>
      </w:tr>
    </w:tbl>
    <w:p w:rsidR="0015099E" w:rsidRDefault="0015099E" w:rsidP="0015099E">
      <w:pPr>
        <w:ind w:firstLine="708"/>
        <w:jc w:val="both"/>
        <w:rPr>
          <w:color w:val="C00000"/>
        </w:rPr>
      </w:pPr>
    </w:p>
    <w:p w:rsidR="0015099E" w:rsidRDefault="0015099E" w:rsidP="0015099E">
      <w:pPr>
        <w:ind w:firstLine="709"/>
        <w:jc w:val="both"/>
      </w:pPr>
      <w:r w:rsidRPr="00C94D88">
        <w:t xml:space="preserve">В отчетном периоде поступило </w:t>
      </w:r>
      <w:r w:rsidR="00EC0A1F">
        <w:t>6</w:t>
      </w:r>
      <w:r w:rsidR="007C2B34">
        <w:t>31</w:t>
      </w:r>
      <w:r w:rsidRPr="00C94D88">
        <w:t xml:space="preserve"> повторн</w:t>
      </w:r>
      <w:r w:rsidR="007C2B34">
        <w:t>ое</w:t>
      </w:r>
      <w:r w:rsidRPr="00C94D88">
        <w:t xml:space="preserve"> обращени</w:t>
      </w:r>
      <w:r w:rsidR="007C2B34">
        <w:t>е</w:t>
      </w:r>
      <w:r w:rsidRPr="00C94D88">
        <w:t xml:space="preserve"> от жителей района</w:t>
      </w:r>
      <w:r>
        <w:t xml:space="preserve">, что составляет </w:t>
      </w:r>
      <w:r w:rsidR="00EC0A1F">
        <w:t>2</w:t>
      </w:r>
      <w:r w:rsidR="007C2B34">
        <w:t>7</w:t>
      </w:r>
      <w:r>
        <w:t>,</w:t>
      </w:r>
      <w:r w:rsidR="007C2B34">
        <w:t>8</w:t>
      </w:r>
      <w:r>
        <w:t>% от общего количества поступивших обращений.</w:t>
      </w:r>
      <w:r w:rsidRPr="00C94D88">
        <w:t xml:space="preserve"> В 201</w:t>
      </w:r>
      <w:r>
        <w:t>9</w:t>
      </w:r>
      <w:r w:rsidRPr="00C94D88">
        <w:t xml:space="preserve"> году – </w:t>
      </w:r>
      <w:r w:rsidR="00524288">
        <w:br/>
      </w:r>
      <w:r w:rsidR="007C2B34">
        <w:t>599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>.</w:t>
      </w:r>
    </w:p>
    <w:p w:rsidR="0015099E" w:rsidRPr="00C94D88" w:rsidRDefault="0015099E" w:rsidP="0015099E">
      <w:pPr>
        <w:ind w:firstLine="709"/>
        <w:jc w:val="both"/>
      </w:pPr>
      <w:r>
        <w:t>Из числа повторных большинство обращений касались вопросов благоустройства</w:t>
      </w:r>
      <w:r w:rsidR="00A05DD6">
        <w:t xml:space="preserve"> (восстановление газонных ограждений, восстановление газонов)</w:t>
      </w:r>
      <w:r>
        <w:t>, нарушения парковки транспортных средств</w:t>
      </w:r>
      <w:r w:rsidR="007C2B34">
        <w:t xml:space="preserve">, актуализации региональной программы капитального ремонта общего </w:t>
      </w:r>
      <w:r w:rsidR="00D36AC9">
        <w:t>и</w:t>
      </w:r>
      <w:r w:rsidR="007C2B34">
        <w:t>мущества МКД (обращения от «многопишущего» заявителя Наумчук Д.В.)</w:t>
      </w:r>
      <w:r>
        <w:t xml:space="preserve">, </w:t>
      </w:r>
      <w:r w:rsidR="00EC0A1F">
        <w:t>нарушение правил уличной торговли (обращения от «многопишущ</w:t>
      </w:r>
      <w:r w:rsidR="00835A32">
        <w:t>их</w:t>
      </w:r>
      <w:r w:rsidR="00EC0A1F">
        <w:t>» заявител</w:t>
      </w:r>
      <w:r w:rsidR="00835A32">
        <w:t>ей</w:t>
      </w:r>
      <w:r w:rsidR="00EC0A1F">
        <w:t xml:space="preserve"> </w:t>
      </w:r>
      <w:r w:rsidR="007C2B34">
        <w:br/>
      </w:r>
      <w:r w:rsidR="00835A32">
        <w:t>Савелова Ю.А., Смирнова А.Ю.</w:t>
      </w:r>
      <w:r w:rsidR="00EC0A1F">
        <w:t xml:space="preserve">), </w:t>
      </w:r>
      <w:r>
        <w:t>неудовлетворительного содержания жилого фонда</w:t>
      </w:r>
      <w:r w:rsidR="00EC0A1F">
        <w:t xml:space="preserve"> (обращения от «многопишущ</w:t>
      </w:r>
      <w:r w:rsidR="00835A32">
        <w:t>их</w:t>
      </w:r>
      <w:r w:rsidR="00EC0A1F">
        <w:t>» заявител</w:t>
      </w:r>
      <w:r w:rsidR="00835A32">
        <w:t>ей</w:t>
      </w:r>
      <w:r w:rsidR="00EC0A1F">
        <w:t xml:space="preserve"> Андреева А.С.</w:t>
      </w:r>
      <w:r w:rsidR="00835A32">
        <w:t>, Фадеева С.М.</w:t>
      </w:r>
      <w:r w:rsidR="00EC0A1F">
        <w:t>)</w:t>
      </w:r>
      <w:r>
        <w:t>,</w:t>
      </w:r>
      <w:r w:rsidR="00835A32">
        <w:t xml:space="preserve"> улучшения жилищных условий (обращения от «многопишущего» заявителя Наибова Э.К.о), спорных вопросов по содержанию жилья (обращения от «многопишущ</w:t>
      </w:r>
      <w:r w:rsidR="007C2B34">
        <w:t>его</w:t>
      </w:r>
      <w:r w:rsidR="00835A32">
        <w:t>» заявител</w:t>
      </w:r>
      <w:r w:rsidR="007C2B34">
        <w:t>я</w:t>
      </w:r>
      <w:r w:rsidR="00835A32">
        <w:t xml:space="preserve"> </w:t>
      </w:r>
      <w:r w:rsidR="007C2B34">
        <w:br/>
      </w:r>
      <w:r w:rsidR="00835A32">
        <w:t>Никифорова Д.В.)</w:t>
      </w:r>
      <w:r w:rsidR="007C2B34">
        <w:t>, незаконный снос зданий (ул. Васенко</w:t>
      </w:r>
      <w:r w:rsidR="00D36AC9">
        <w:t xml:space="preserve"> , 7) Иванова Т.А.</w:t>
      </w:r>
      <w:r>
        <w:t>.</w:t>
      </w:r>
      <w:r w:rsidR="007448E6">
        <w:t xml:space="preserve"> Основные причины повторности – направление заявителем одного обращения в несколько организаций одновременно. </w:t>
      </w:r>
    </w:p>
    <w:p w:rsidR="0015099E" w:rsidRPr="00C94D88" w:rsidRDefault="0015099E" w:rsidP="00D33BA7">
      <w:pPr>
        <w:widowControl w:val="0"/>
        <w:tabs>
          <w:tab w:val="left" w:pos="1221"/>
        </w:tabs>
        <w:ind w:firstLine="709"/>
        <w:jc w:val="both"/>
      </w:pPr>
      <w:r w:rsidRPr="00C94D88">
        <w:t xml:space="preserve">За </w:t>
      </w:r>
      <w:r w:rsidR="00D36AC9">
        <w:t>4</w:t>
      </w:r>
      <w:r w:rsidRPr="00C94D88">
        <w:t xml:space="preserve"> квартал 20</w:t>
      </w:r>
      <w:r>
        <w:t>20</w:t>
      </w:r>
      <w:r w:rsidRPr="00C94D88">
        <w:t xml:space="preserve"> года обращения в администрацию Калининского района поступали:</w:t>
      </w:r>
    </w:p>
    <w:p w:rsidR="0015099E" w:rsidRPr="00C94D88" w:rsidRDefault="0015099E" w:rsidP="0015099E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 w:rsidR="00D36AC9">
        <w:t>1072</w:t>
      </w:r>
      <w:r>
        <w:t xml:space="preserve"> (</w:t>
      </w:r>
      <w:r w:rsidR="00D36AC9">
        <w:t>872</w:t>
      </w:r>
      <w:r>
        <w:t xml:space="preserve"> – </w:t>
      </w:r>
      <w:r w:rsidR="00D36AC9">
        <w:t>4</w:t>
      </w:r>
      <w:r>
        <w:t xml:space="preserve"> квартал 2019 года)</w:t>
      </w:r>
      <w:r w:rsidRPr="00C94D88">
        <w:t>:</w:t>
      </w:r>
    </w:p>
    <w:p w:rsidR="0015099E" w:rsidRDefault="0015099E" w:rsidP="0015099E">
      <w:pPr>
        <w:widowControl w:val="0"/>
        <w:jc w:val="both"/>
      </w:pPr>
      <w:r w:rsidRPr="00C94D88">
        <w:t xml:space="preserve">- через </w:t>
      </w:r>
      <w:r>
        <w:t>электронную приемную</w:t>
      </w:r>
      <w:r w:rsidRPr="00C94D88">
        <w:t xml:space="preserve"> – </w:t>
      </w:r>
      <w:r w:rsidR="00D33BA7">
        <w:t>8</w:t>
      </w:r>
      <w:r w:rsidR="00D36AC9">
        <w:t>2</w:t>
      </w:r>
      <w:r w:rsidR="00D33BA7">
        <w:t>1</w:t>
      </w:r>
    </w:p>
    <w:p w:rsidR="0015099E" w:rsidRDefault="0015099E" w:rsidP="0015099E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>
        <w:t xml:space="preserve"> – 1</w:t>
      </w:r>
      <w:r w:rsidR="00D36AC9">
        <w:t>091</w:t>
      </w:r>
      <w:r w:rsidRPr="00C94D8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5528"/>
        <w:gridCol w:w="1412"/>
        <w:gridCol w:w="1398"/>
      </w:tblGrid>
      <w:tr w:rsidR="00D33BA7" w:rsidRPr="00A21375" w:rsidTr="007C2B34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>
              <w:t>1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 w:rsidRPr="00A21375">
              <w:rPr>
                <w:rFonts w:eastAsia="Segoe UI"/>
              </w:rPr>
              <w:t>Администрация Губернатора СПб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7C2B34" w:rsidP="00D36AC9">
            <w:pPr>
              <w:jc w:val="center"/>
            </w:pPr>
            <w:hyperlink r:id="rId8" w:history="1">
              <w:r w:rsidR="00D33BA7" w:rsidRPr="00A21375">
                <w:rPr>
                  <w:rFonts w:eastAsia="Segoe UI"/>
                </w:rPr>
                <w:t>3</w:t>
              </w:r>
              <w:r w:rsidR="00D36AC9">
                <w:rPr>
                  <w:rFonts w:eastAsia="Segoe UI"/>
                </w:rPr>
                <w:t>58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pPr>
              <w:jc w:val="center"/>
            </w:pPr>
            <w:r w:rsidRPr="00A21375">
              <w:rPr>
                <w:rFonts w:eastAsia="Segoe UI"/>
              </w:rPr>
              <w:t>15,8%</w:t>
            </w:r>
          </w:p>
        </w:tc>
      </w:tr>
      <w:tr w:rsidR="00D33BA7" w:rsidRPr="00A21375" w:rsidTr="007C2B34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>
              <w:t>2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 w:rsidRPr="00A21375">
              <w:rPr>
                <w:rFonts w:eastAsia="Segoe UI"/>
              </w:rPr>
              <w:t>Законодательное собрание СПб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7C2B34" w:rsidP="00D36AC9">
            <w:pPr>
              <w:jc w:val="center"/>
            </w:pPr>
            <w:hyperlink r:id="rId9" w:history="1">
              <w:r w:rsidR="00D33BA7" w:rsidRPr="00A21375">
                <w:rPr>
                  <w:rFonts w:eastAsia="Segoe UI"/>
                </w:rPr>
                <w:t>2</w:t>
              </w:r>
              <w:r w:rsidR="00D36AC9">
                <w:rPr>
                  <w:rFonts w:eastAsia="Segoe UI"/>
                </w:rPr>
                <w:t>8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pPr>
              <w:jc w:val="center"/>
            </w:pPr>
            <w:r w:rsidRPr="00A21375">
              <w:rPr>
                <w:rFonts w:eastAsia="Segoe UI"/>
              </w:rPr>
              <w:t>1</w:t>
            </w:r>
            <w:r w:rsidR="00D36AC9">
              <w:rPr>
                <w:rFonts w:eastAsia="Segoe UI"/>
              </w:rPr>
              <w:t>,2</w:t>
            </w:r>
            <w:r w:rsidRPr="00A21375">
              <w:rPr>
                <w:rFonts w:eastAsia="Segoe UI"/>
              </w:rPr>
              <w:t>%</w:t>
            </w:r>
          </w:p>
        </w:tc>
      </w:tr>
      <w:tr w:rsidR="00D33BA7" w:rsidRPr="00A21375" w:rsidTr="007C2B34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>
              <w:t>3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 w:rsidRPr="00A21375">
              <w:rPr>
                <w:rFonts w:eastAsia="Segoe UI"/>
              </w:rPr>
              <w:t>ИОГВ СПб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6AC9" w:rsidP="00D36AC9">
            <w:pPr>
              <w:jc w:val="center"/>
            </w:pPr>
            <w:r>
              <w:rPr>
                <w:rFonts w:eastAsia="Segoe UI"/>
              </w:rPr>
              <w:t>6</w:t>
            </w:r>
            <w:hyperlink r:id="rId10" w:history="1">
              <w:r w:rsidR="00D33BA7" w:rsidRPr="00A21375">
                <w:rPr>
                  <w:rFonts w:eastAsia="Segoe UI"/>
                </w:rPr>
                <w:t>55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D36AC9">
            <w:pPr>
              <w:jc w:val="center"/>
            </w:pPr>
            <w:r w:rsidRPr="00A21375">
              <w:rPr>
                <w:rFonts w:eastAsia="Segoe UI"/>
              </w:rPr>
              <w:t>2</w:t>
            </w:r>
            <w:r w:rsidR="00D36AC9">
              <w:rPr>
                <w:rFonts w:eastAsia="Segoe UI"/>
              </w:rPr>
              <w:t>8</w:t>
            </w:r>
            <w:r w:rsidRPr="00A21375">
              <w:rPr>
                <w:rFonts w:eastAsia="Segoe UI"/>
              </w:rPr>
              <w:t>,</w:t>
            </w:r>
            <w:r w:rsidR="00D36AC9">
              <w:rPr>
                <w:rFonts w:eastAsia="Segoe UI"/>
              </w:rPr>
              <w:t>9</w:t>
            </w:r>
            <w:r w:rsidRPr="00A21375">
              <w:rPr>
                <w:rFonts w:eastAsia="Segoe UI"/>
              </w:rPr>
              <w:t>%</w:t>
            </w:r>
          </w:p>
        </w:tc>
      </w:tr>
      <w:tr w:rsidR="00D33BA7" w:rsidRPr="00A21375" w:rsidTr="007C2B34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>
              <w:t>4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 w:rsidRPr="00A21375">
              <w:rPr>
                <w:rFonts w:eastAsia="Segoe UI"/>
              </w:rPr>
              <w:t>МО СПб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7C2B34" w:rsidP="00D36AC9">
            <w:pPr>
              <w:jc w:val="center"/>
            </w:pPr>
            <w:hyperlink r:id="rId11" w:history="1">
              <w:r w:rsidR="00D33BA7" w:rsidRPr="00A21375">
                <w:rPr>
                  <w:rFonts w:eastAsia="Segoe UI"/>
                </w:rPr>
                <w:t>2</w:t>
              </w:r>
              <w:r w:rsidR="00D36AC9">
                <w:rPr>
                  <w:rFonts w:eastAsia="Segoe UI"/>
                </w:rPr>
                <w:t>8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D36AC9">
            <w:pPr>
              <w:jc w:val="center"/>
            </w:pPr>
            <w:r w:rsidRPr="00A21375">
              <w:rPr>
                <w:rFonts w:eastAsia="Segoe UI"/>
              </w:rPr>
              <w:t>1</w:t>
            </w:r>
            <w:r w:rsidR="00D36AC9">
              <w:rPr>
                <w:rFonts w:eastAsia="Segoe UI"/>
              </w:rPr>
              <w:t>,2</w:t>
            </w:r>
            <w:r w:rsidRPr="00A21375">
              <w:rPr>
                <w:rFonts w:eastAsia="Segoe UI"/>
              </w:rPr>
              <w:t>%</w:t>
            </w:r>
          </w:p>
        </w:tc>
      </w:tr>
      <w:tr w:rsidR="00D33BA7" w:rsidRPr="00A21375" w:rsidTr="007C2B34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>
              <w:t>5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 w:rsidRPr="00A21375">
              <w:rPr>
                <w:rFonts w:eastAsia="Segoe UI"/>
              </w:rPr>
              <w:t>Федеральные ОВ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6AC9" w:rsidP="00D36AC9">
            <w:pPr>
              <w:jc w:val="center"/>
            </w:pPr>
            <w:r>
              <w:rPr>
                <w:rFonts w:eastAsia="Segoe UI"/>
              </w:rPr>
              <w:t>22</w:t>
            </w:r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6AC9" w:rsidP="00D36AC9">
            <w:pPr>
              <w:jc w:val="center"/>
            </w:pPr>
            <w:r>
              <w:rPr>
                <w:rFonts w:eastAsia="Segoe UI"/>
              </w:rPr>
              <w:t>1</w:t>
            </w:r>
            <w:r w:rsidR="00D33BA7" w:rsidRPr="00A21375">
              <w:rPr>
                <w:rFonts w:eastAsia="Segoe UI"/>
              </w:rPr>
              <w:t>%</w:t>
            </w:r>
          </w:p>
        </w:tc>
      </w:tr>
      <w:tr w:rsidR="00D33BA7" w:rsidRPr="00A21375" w:rsidTr="007C2B34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>
              <w:t>6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 w:rsidRPr="00A21375">
              <w:rPr>
                <w:rFonts w:eastAsia="Segoe UI"/>
              </w:rPr>
              <w:t xml:space="preserve">Органы Прокуратуры 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6AC9" w:rsidP="00D36AC9">
            <w:pPr>
              <w:jc w:val="center"/>
            </w:pPr>
            <w:r>
              <w:t>57</w:t>
            </w:r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6AC9" w:rsidP="00D36AC9">
            <w:pPr>
              <w:jc w:val="center"/>
            </w:pPr>
            <w:r>
              <w:rPr>
                <w:rFonts w:eastAsia="Segoe UI"/>
              </w:rPr>
              <w:t>2,</w:t>
            </w:r>
            <w:r w:rsidR="00D33BA7" w:rsidRPr="00A21375">
              <w:rPr>
                <w:rFonts w:eastAsia="Segoe UI"/>
              </w:rPr>
              <w:t>5%</w:t>
            </w:r>
          </w:p>
        </w:tc>
      </w:tr>
      <w:tr w:rsidR="00D33BA7" w:rsidRPr="00A21375" w:rsidTr="007C2B34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>
              <w:t>7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 w:rsidRPr="00A21375">
              <w:rPr>
                <w:rFonts w:eastAsia="Segoe UI"/>
              </w:rPr>
              <w:t>Региональные ОВ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6AC9" w:rsidP="00D36AC9">
            <w:pPr>
              <w:jc w:val="center"/>
            </w:pPr>
            <w:r>
              <w:rPr>
                <w:rFonts w:eastAsia="Segoe UI"/>
              </w:rPr>
              <w:t>0</w:t>
            </w:r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pPr>
              <w:jc w:val="center"/>
            </w:pPr>
            <w:r w:rsidRPr="00A21375">
              <w:rPr>
                <w:rFonts w:eastAsia="Segoe UI"/>
              </w:rPr>
              <w:t>0%</w:t>
            </w:r>
          </w:p>
        </w:tc>
      </w:tr>
      <w:tr w:rsidR="00D33BA7" w:rsidRPr="00A21375" w:rsidTr="007C2B34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>
              <w:t>8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7C2B34">
            <w:r w:rsidRPr="00A21375">
              <w:rPr>
                <w:rFonts w:eastAsia="Segoe UI"/>
              </w:rPr>
              <w:t>Иные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7C2B34" w:rsidP="00D36AC9">
            <w:pPr>
              <w:jc w:val="center"/>
            </w:pPr>
            <w:hyperlink r:id="rId12" w:history="1">
              <w:r w:rsidR="00D36AC9">
                <w:rPr>
                  <w:rFonts w:eastAsia="Segoe UI"/>
                </w:rPr>
                <w:t>48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6AC9" w:rsidP="00D36AC9">
            <w:pPr>
              <w:jc w:val="center"/>
            </w:pPr>
            <w:r>
              <w:rPr>
                <w:rFonts w:eastAsia="Segoe UI"/>
              </w:rPr>
              <w:t>2,1</w:t>
            </w:r>
            <w:r w:rsidR="00D33BA7" w:rsidRPr="00A21375">
              <w:rPr>
                <w:rFonts w:eastAsia="Segoe UI"/>
              </w:rPr>
              <w:t>%</w:t>
            </w:r>
          </w:p>
        </w:tc>
      </w:tr>
    </w:tbl>
    <w:p w:rsidR="00D36AC9" w:rsidRDefault="00D36AC9" w:rsidP="0015099E">
      <w:pPr>
        <w:widowControl w:val="0"/>
        <w:ind w:firstLine="709"/>
        <w:jc w:val="both"/>
        <w:rPr>
          <w:color w:val="1D1D1D"/>
        </w:rPr>
      </w:pPr>
    </w:p>
    <w:p w:rsidR="00D36AC9" w:rsidRDefault="00D36AC9" w:rsidP="0015099E">
      <w:pPr>
        <w:widowControl w:val="0"/>
        <w:ind w:firstLine="709"/>
        <w:jc w:val="both"/>
        <w:rPr>
          <w:color w:val="1D1D1D"/>
        </w:rPr>
      </w:pPr>
    </w:p>
    <w:p w:rsidR="0015099E" w:rsidRDefault="0015099E" w:rsidP="0015099E">
      <w:pPr>
        <w:widowControl w:val="0"/>
        <w:ind w:firstLine="709"/>
        <w:jc w:val="both"/>
        <w:rPr>
          <w:color w:val="1D1D1D"/>
        </w:rPr>
      </w:pPr>
      <w:r>
        <w:rPr>
          <w:color w:val="1D1D1D"/>
        </w:rPr>
        <w:lastRenderedPageBreak/>
        <w:t>В</w:t>
      </w:r>
      <w:r w:rsidRPr="003B528B">
        <w:rPr>
          <w:color w:val="1D1D1D"/>
        </w:rPr>
        <w:t xml:space="preserve"> соответствии с подпунктом 2.5.3 пункта 2 решения рабочей группы </w:t>
      </w:r>
      <w:r w:rsidR="00D36AC9">
        <w:rPr>
          <w:color w:val="1D1D1D"/>
        </w:rPr>
        <w:br/>
      </w:r>
      <w:r w:rsidRPr="003B528B">
        <w:rPr>
          <w:color w:val="1D1D1D"/>
        </w:rPr>
        <w:t xml:space="preserve">при Администрации Президента Российской Федерации по координации и оценке работы </w:t>
      </w:r>
      <w:r w:rsidR="00D36AC9">
        <w:rPr>
          <w:color w:val="1D1D1D"/>
        </w:rPr>
        <w:br/>
      </w:r>
      <w:r w:rsidRPr="003B528B">
        <w:rPr>
          <w:color w:val="1D1D1D"/>
        </w:rPr>
        <w:t xml:space="preserve">с обращениями граждан и организаций (протокол № 14 от 28 сентября 2017 года № А1-3935о) заместителем Руководителя Администрации Президента Российской Федерации, руководителем рабочей группы утвержден 28 ноября 2017 года № А1-5093о типовой общероссийский тематический классификатор обращений граждан Российской Федерации, иностранных граждан, лиц без гражданства, объединений граждан, в том числе юридических лиц (далее – новый классификатор), вводимый в действие с 1 января 2018 года </w:t>
      </w:r>
      <w:r w:rsidR="00D36AC9">
        <w:rPr>
          <w:color w:val="1D1D1D"/>
        </w:rPr>
        <w:br/>
      </w:r>
      <w:r w:rsidRPr="003B528B">
        <w:rPr>
          <w:color w:val="1D1D1D"/>
        </w:rPr>
        <w:t>с обязательным применением с 1 июня 2018 года.</w:t>
      </w:r>
    </w:p>
    <w:p w:rsidR="0015099E" w:rsidRDefault="0015099E" w:rsidP="0015099E">
      <w:pPr>
        <w:widowControl w:val="0"/>
        <w:ind w:firstLine="709"/>
        <w:jc w:val="both"/>
      </w:pPr>
      <w:r>
        <w:rPr>
          <w:color w:val="1D1D1D"/>
        </w:rPr>
        <w:t>В соответствии с типовым классификатором з</w:t>
      </w:r>
      <w:r w:rsidRPr="00C94D88">
        <w:rPr>
          <w:bCs/>
          <w:iCs/>
        </w:rPr>
        <w:t xml:space="preserve">а </w:t>
      </w:r>
      <w:r w:rsidR="00D36AC9">
        <w:rPr>
          <w:bCs/>
          <w:iCs/>
        </w:rPr>
        <w:t>4</w:t>
      </w:r>
      <w:r w:rsidRPr="00C94D88">
        <w:rPr>
          <w:bCs/>
          <w:iCs/>
        </w:rPr>
        <w:t xml:space="preserve"> квартал 20</w:t>
      </w:r>
      <w:r>
        <w:rPr>
          <w:bCs/>
          <w:iCs/>
        </w:rPr>
        <w:t>20</w:t>
      </w:r>
      <w:r w:rsidRPr="00C94D88">
        <w:rPr>
          <w:bCs/>
          <w:iCs/>
        </w:rPr>
        <w:t xml:space="preserve"> года тематика поступивших вопросов представлена в таблице</w:t>
      </w:r>
      <w:r w:rsidRPr="00C94D88">
        <w:t xml:space="preserve">: </w:t>
      </w:r>
    </w:p>
    <w:p w:rsidR="0015099E" w:rsidRDefault="0015099E" w:rsidP="0015099E">
      <w:pPr>
        <w:ind w:firstLine="46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1386"/>
        <w:gridCol w:w="1368"/>
        <w:gridCol w:w="1335"/>
        <w:gridCol w:w="1336"/>
      </w:tblGrid>
      <w:tr w:rsidR="00F264D6" w:rsidRPr="00543F9E" w:rsidTr="007C2B3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264D6" w:rsidRPr="00543F9E" w:rsidRDefault="00F264D6" w:rsidP="007C2B34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275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2671" w:type="dxa"/>
            <w:gridSpan w:val="2"/>
          </w:tcPr>
          <w:p w:rsidR="00F264D6" w:rsidRDefault="00F264D6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</w:tr>
      <w:tr w:rsidR="00F264D6" w:rsidRPr="00543F9E" w:rsidTr="007C2B3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264D6" w:rsidRPr="00543F9E" w:rsidRDefault="00F264D6" w:rsidP="007C2B3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C2B3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C2B3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  <w:tc>
          <w:tcPr>
            <w:tcW w:w="1335" w:type="dxa"/>
          </w:tcPr>
          <w:p w:rsidR="00F264D6" w:rsidRPr="00543F9E" w:rsidRDefault="00F264D6" w:rsidP="007C2B3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36" w:type="dxa"/>
          </w:tcPr>
          <w:p w:rsidR="00F264D6" w:rsidRPr="00543F9E" w:rsidRDefault="00F264D6" w:rsidP="007C2B34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</w:tr>
      <w:tr w:rsidR="00F264D6" w:rsidRPr="00543F9E" w:rsidTr="007C2B3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C2B34">
            <w:r w:rsidRPr="00543F9E">
              <w:rPr>
                <w:rFonts w:eastAsia="Segoe UI"/>
              </w:rPr>
              <w:t>Государство, общество, политика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D36AC9" w:rsidP="007C2B34">
            <w:pPr>
              <w:jc w:val="center"/>
            </w:pPr>
            <w:r>
              <w:t>114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D36AC9">
            <w:pPr>
              <w:jc w:val="center"/>
            </w:pPr>
            <w:r>
              <w:t>5%</w:t>
            </w:r>
          </w:p>
        </w:tc>
        <w:tc>
          <w:tcPr>
            <w:tcW w:w="1335" w:type="dxa"/>
          </w:tcPr>
          <w:p w:rsidR="00F264D6" w:rsidRPr="00523C3E" w:rsidRDefault="00F264D6" w:rsidP="00996232">
            <w:pPr>
              <w:jc w:val="center"/>
            </w:pPr>
            <w:r>
              <w:t>1</w:t>
            </w:r>
            <w:r w:rsidR="00996232">
              <w:t>35</w:t>
            </w:r>
          </w:p>
        </w:tc>
        <w:tc>
          <w:tcPr>
            <w:tcW w:w="1336" w:type="dxa"/>
          </w:tcPr>
          <w:p w:rsidR="00F264D6" w:rsidRPr="00543F9E" w:rsidRDefault="00996232" w:rsidP="00996232">
            <w:pPr>
              <w:jc w:val="center"/>
            </w:pPr>
            <w:r>
              <w:t>6,1</w:t>
            </w:r>
            <w:r w:rsidR="00F264D6">
              <w:t>%</w:t>
            </w:r>
          </w:p>
        </w:tc>
      </w:tr>
      <w:tr w:rsidR="00F264D6" w:rsidRPr="00543F9E" w:rsidTr="007C2B3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C2B34">
            <w:r w:rsidRPr="00543F9E">
              <w:rPr>
                <w:rFonts w:eastAsia="Segoe UI"/>
              </w:rPr>
              <w:t>Социальная сфера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E199A">
            <w:pPr>
              <w:jc w:val="center"/>
            </w:pPr>
            <w:r>
              <w:t>7</w:t>
            </w:r>
            <w:r w:rsidR="007E199A">
              <w:t>47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E199A">
            <w:pPr>
              <w:jc w:val="center"/>
            </w:pPr>
            <w:r>
              <w:t>3</w:t>
            </w:r>
            <w:r w:rsidR="007E199A">
              <w:t>2</w:t>
            </w:r>
            <w:r>
              <w:t>,9%</w:t>
            </w:r>
          </w:p>
        </w:tc>
        <w:tc>
          <w:tcPr>
            <w:tcW w:w="1335" w:type="dxa"/>
          </w:tcPr>
          <w:p w:rsidR="00F264D6" w:rsidRPr="00523C3E" w:rsidRDefault="007E199A" w:rsidP="007E199A">
            <w:pPr>
              <w:jc w:val="center"/>
            </w:pPr>
            <w:r>
              <w:t>550</w:t>
            </w:r>
          </w:p>
        </w:tc>
        <w:tc>
          <w:tcPr>
            <w:tcW w:w="1336" w:type="dxa"/>
          </w:tcPr>
          <w:p w:rsidR="00F264D6" w:rsidRPr="00543F9E" w:rsidRDefault="007E199A" w:rsidP="007E199A">
            <w:pPr>
              <w:jc w:val="center"/>
            </w:pPr>
            <w:r>
              <w:t>24</w:t>
            </w:r>
            <w:r w:rsidR="00F264D6">
              <w:t>,</w:t>
            </w:r>
            <w:r>
              <w:t>8</w:t>
            </w:r>
            <w:r w:rsidR="00F264D6">
              <w:t>%</w:t>
            </w:r>
          </w:p>
        </w:tc>
      </w:tr>
      <w:tr w:rsidR="00F264D6" w:rsidRPr="00543F9E" w:rsidTr="007C2B3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C2B34">
            <w:r w:rsidRPr="00543F9E">
              <w:rPr>
                <w:rFonts w:eastAsia="Segoe UI"/>
              </w:rPr>
              <w:t>Экономика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7E199A" w:rsidP="007E199A">
            <w:pPr>
              <w:jc w:val="center"/>
            </w:pPr>
            <w:r>
              <w:t>582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7E199A" w:rsidP="007E199A">
            <w:pPr>
              <w:jc w:val="center"/>
            </w:pPr>
            <w:r>
              <w:t>25,7</w:t>
            </w:r>
            <w:r w:rsidR="00F264D6">
              <w:t>%</w:t>
            </w:r>
          </w:p>
        </w:tc>
        <w:tc>
          <w:tcPr>
            <w:tcW w:w="1335" w:type="dxa"/>
          </w:tcPr>
          <w:p w:rsidR="00F264D6" w:rsidRPr="00523C3E" w:rsidRDefault="007E199A" w:rsidP="007E199A">
            <w:pPr>
              <w:jc w:val="center"/>
            </w:pPr>
            <w:r>
              <w:t>619</w:t>
            </w:r>
          </w:p>
        </w:tc>
        <w:tc>
          <w:tcPr>
            <w:tcW w:w="1336" w:type="dxa"/>
          </w:tcPr>
          <w:p w:rsidR="00F264D6" w:rsidRPr="00543F9E" w:rsidRDefault="007E199A" w:rsidP="007E199A">
            <w:pPr>
              <w:jc w:val="center"/>
            </w:pPr>
            <w:r>
              <w:t>27,9</w:t>
            </w:r>
            <w:r w:rsidR="00F264D6">
              <w:t>%</w:t>
            </w:r>
          </w:p>
        </w:tc>
      </w:tr>
      <w:tr w:rsidR="00F264D6" w:rsidRPr="00543F9E" w:rsidTr="007C2B3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C2B34">
            <w:r w:rsidRPr="00543F9E">
              <w:rPr>
                <w:rFonts w:eastAsia="Segoe UI"/>
              </w:rPr>
              <w:t>Оборона, безопасность, законность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7E199A" w:rsidP="007E199A">
            <w:pPr>
              <w:jc w:val="center"/>
            </w:pPr>
            <w:r>
              <w:t>211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C2B34">
            <w:pPr>
              <w:jc w:val="center"/>
            </w:pPr>
            <w:r>
              <w:t>8,6%</w:t>
            </w:r>
          </w:p>
        </w:tc>
        <w:tc>
          <w:tcPr>
            <w:tcW w:w="1335" w:type="dxa"/>
          </w:tcPr>
          <w:p w:rsidR="00F264D6" w:rsidRPr="00523C3E" w:rsidRDefault="00F264D6" w:rsidP="007E199A">
            <w:pPr>
              <w:jc w:val="center"/>
            </w:pPr>
            <w:r>
              <w:t>1</w:t>
            </w:r>
            <w:r w:rsidR="007E199A">
              <w:t>90</w:t>
            </w:r>
          </w:p>
        </w:tc>
        <w:tc>
          <w:tcPr>
            <w:tcW w:w="1336" w:type="dxa"/>
          </w:tcPr>
          <w:p w:rsidR="00F264D6" w:rsidRPr="00543F9E" w:rsidRDefault="007E199A" w:rsidP="007E199A">
            <w:pPr>
              <w:jc w:val="center"/>
            </w:pPr>
            <w:r>
              <w:t>8,6</w:t>
            </w:r>
            <w:r w:rsidR="00F264D6">
              <w:t>%</w:t>
            </w:r>
          </w:p>
        </w:tc>
      </w:tr>
      <w:tr w:rsidR="00F264D6" w:rsidRPr="00543F9E" w:rsidTr="007C2B34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C2B34">
            <w:r w:rsidRPr="00543F9E">
              <w:rPr>
                <w:rFonts w:eastAsia="Segoe UI"/>
              </w:rPr>
              <w:t>Жилище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7E199A">
            <w:pPr>
              <w:jc w:val="center"/>
            </w:pPr>
            <w:r>
              <w:t>6</w:t>
            </w:r>
            <w:r w:rsidR="007E199A">
              <w:t>42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7E199A" w:rsidP="007E199A">
            <w:pPr>
              <w:jc w:val="center"/>
            </w:pPr>
            <w:r>
              <w:t>28</w:t>
            </w:r>
            <w:r w:rsidR="00F264D6">
              <w:t>,3%</w:t>
            </w:r>
          </w:p>
        </w:tc>
        <w:tc>
          <w:tcPr>
            <w:tcW w:w="1335" w:type="dxa"/>
          </w:tcPr>
          <w:p w:rsidR="00F264D6" w:rsidRPr="00523C3E" w:rsidRDefault="007E199A" w:rsidP="007C2B34">
            <w:pPr>
              <w:jc w:val="center"/>
            </w:pPr>
            <w:r>
              <w:t>766</w:t>
            </w:r>
          </w:p>
        </w:tc>
        <w:tc>
          <w:tcPr>
            <w:tcW w:w="1336" w:type="dxa"/>
          </w:tcPr>
          <w:p w:rsidR="00F264D6" w:rsidRPr="00543F9E" w:rsidRDefault="00F264D6" w:rsidP="007E199A">
            <w:pPr>
              <w:jc w:val="center"/>
            </w:pPr>
            <w:r>
              <w:t>3</w:t>
            </w:r>
            <w:r w:rsidR="007E199A">
              <w:t>4</w:t>
            </w:r>
            <w:r>
              <w:t>,</w:t>
            </w:r>
            <w:r w:rsidR="007E199A">
              <w:t>5</w:t>
            </w:r>
            <w:r>
              <w:t>%</w:t>
            </w:r>
          </w:p>
        </w:tc>
      </w:tr>
    </w:tbl>
    <w:p w:rsidR="00F264D6" w:rsidRDefault="00F264D6" w:rsidP="00F264D6">
      <w:pPr>
        <w:pStyle w:val="a5"/>
        <w:widowControl w:val="0"/>
        <w:ind w:firstLine="709"/>
      </w:pPr>
    </w:p>
    <w:p w:rsidR="00F264D6" w:rsidRPr="00E956FD" w:rsidRDefault="00F264D6" w:rsidP="007E199A">
      <w:pPr>
        <w:pStyle w:val="a5"/>
        <w:widowControl w:val="0"/>
        <w:ind w:left="0" w:firstLine="709"/>
        <w:jc w:val="both"/>
      </w:pPr>
      <w:r w:rsidRPr="00E956FD">
        <w:t xml:space="preserve">Главой и заместителями главы администрации </w:t>
      </w:r>
      <w:r w:rsidR="007E199A">
        <w:t>в</w:t>
      </w:r>
      <w:r w:rsidRPr="00E956FD">
        <w:t xml:space="preserve"> </w:t>
      </w:r>
      <w:r w:rsidR="007E199A">
        <w:t>4</w:t>
      </w:r>
      <w:r w:rsidRPr="00E956FD">
        <w:t xml:space="preserve"> квартал</w:t>
      </w:r>
      <w:r w:rsidR="007E199A">
        <w:t>е</w:t>
      </w:r>
      <w:r w:rsidRPr="00E956FD">
        <w:t xml:space="preserve"> 2020 года проведен</w:t>
      </w:r>
      <w:r w:rsidR="007E199A">
        <w:t xml:space="preserve">о </w:t>
      </w:r>
      <w:r w:rsidR="007E199A">
        <w:br/>
        <w:t>40</w:t>
      </w:r>
      <w:r w:rsidRPr="00E956FD">
        <w:t xml:space="preserve"> прием</w:t>
      </w:r>
      <w:r w:rsidR="007E199A">
        <w:t>ов</w:t>
      </w:r>
      <w:r w:rsidRPr="00E956FD">
        <w:t>, принят</w:t>
      </w:r>
      <w:r>
        <w:t>о</w:t>
      </w:r>
      <w:r w:rsidRPr="00E956FD">
        <w:t xml:space="preserve"> </w:t>
      </w:r>
      <w:r w:rsidR="007E199A">
        <w:t>46</w:t>
      </w:r>
      <w:r w:rsidRPr="00E956FD">
        <w:t xml:space="preserve"> человек: </w:t>
      </w:r>
    </w:p>
    <w:p w:rsidR="00F264D6" w:rsidRPr="00E956FD" w:rsidRDefault="00F264D6" w:rsidP="00F264D6">
      <w:pPr>
        <w:widowControl w:val="0"/>
        <w:autoSpaceDE w:val="0"/>
        <w:autoSpaceDN w:val="0"/>
        <w:adjustRightInd w:val="0"/>
        <w:jc w:val="both"/>
      </w:pPr>
      <w:r w:rsidRPr="00E956FD">
        <w:t xml:space="preserve">главой проведено </w:t>
      </w:r>
      <w:r w:rsidR="007E199A">
        <w:t>6</w:t>
      </w:r>
      <w:r w:rsidRPr="00E956FD">
        <w:t xml:space="preserve"> прием</w:t>
      </w:r>
      <w:r w:rsidR="007E199A">
        <w:t>ов</w:t>
      </w:r>
      <w:r w:rsidRPr="00E956FD">
        <w:t xml:space="preserve">, принято </w:t>
      </w:r>
      <w:r w:rsidR="007E199A">
        <w:t>7</w:t>
      </w:r>
      <w:r w:rsidRPr="00E956FD">
        <w:t xml:space="preserve"> человек</w:t>
      </w:r>
    </w:p>
    <w:p w:rsidR="00F264D6" w:rsidRPr="00E956FD" w:rsidRDefault="00F264D6" w:rsidP="00F264D6">
      <w:pPr>
        <w:widowControl w:val="0"/>
        <w:autoSpaceDE w:val="0"/>
        <w:autoSpaceDN w:val="0"/>
        <w:adjustRightInd w:val="0"/>
        <w:jc w:val="both"/>
      </w:pPr>
      <w:r w:rsidRPr="00E956FD">
        <w:t xml:space="preserve">Ростовским В.В. – проведено </w:t>
      </w:r>
      <w:r w:rsidR="007E199A">
        <w:t xml:space="preserve">25 </w:t>
      </w:r>
      <w:r w:rsidRPr="00E956FD">
        <w:t xml:space="preserve">приемов, принято </w:t>
      </w:r>
      <w:r w:rsidR="007E199A">
        <w:t>29</w:t>
      </w:r>
      <w:r w:rsidRPr="00E956FD">
        <w:t xml:space="preserve"> человек</w:t>
      </w:r>
    </w:p>
    <w:p w:rsidR="00F264D6" w:rsidRDefault="00F264D6" w:rsidP="00F264D6">
      <w:pPr>
        <w:widowControl w:val="0"/>
        <w:autoSpaceDE w:val="0"/>
        <w:autoSpaceDN w:val="0"/>
        <w:adjustRightInd w:val="0"/>
        <w:jc w:val="both"/>
      </w:pPr>
      <w:r w:rsidRPr="00E956FD">
        <w:t>К</w:t>
      </w:r>
      <w:r>
        <w:t>уваевой</w:t>
      </w:r>
      <w:r w:rsidRPr="00E956FD">
        <w:t xml:space="preserve"> </w:t>
      </w:r>
      <w:r>
        <w:t>А</w:t>
      </w:r>
      <w:r w:rsidRPr="00E956FD">
        <w:t xml:space="preserve">.В. – проведено </w:t>
      </w:r>
      <w:r>
        <w:t>3</w:t>
      </w:r>
      <w:r w:rsidRPr="00E956FD">
        <w:t xml:space="preserve"> приема, принято </w:t>
      </w:r>
      <w:r w:rsidR="007E199A">
        <w:t>3</w:t>
      </w:r>
      <w:r w:rsidRPr="00E956FD">
        <w:t xml:space="preserve"> человека</w:t>
      </w:r>
    </w:p>
    <w:p w:rsidR="00F264D6" w:rsidRDefault="00F264D6" w:rsidP="00F264D6">
      <w:pPr>
        <w:widowControl w:val="0"/>
        <w:autoSpaceDE w:val="0"/>
        <w:autoSpaceDN w:val="0"/>
        <w:adjustRightInd w:val="0"/>
        <w:jc w:val="both"/>
      </w:pPr>
      <w:r w:rsidRPr="00E956FD">
        <w:t xml:space="preserve">Морозковой Т.А. - проведено </w:t>
      </w:r>
      <w:r>
        <w:t>3</w:t>
      </w:r>
      <w:r w:rsidRPr="00E956FD">
        <w:t xml:space="preserve"> прием</w:t>
      </w:r>
      <w:r>
        <w:t>а</w:t>
      </w:r>
      <w:r w:rsidRPr="00E956FD">
        <w:t xml:space="preserve">, принято </w:t>
      </w:r>
      <w:r w:rsidR="007E199A">
        <w:t>4</w:t>
      </w:r>
      <w:r w:rsidRPr="00E956FD">
        <w:t xml:space="preserve"> человек</w:t>
      </w:r>
      <w:r>
        <w:t>а</w:t>
      </w:r>
    </w:p>
    <w:p w:rsidR="00F264D6" w:rsidRPr="00E956FD" w:rsidRDefault="00F264D6" w:rsidP="00F264D6">
      <w:pPr>
        <w:widowControl w:val="0"/>
        <w:autoSpaceDE w:val="0"/>
        <w:autoSpaceDN w:val="0"/>
        <w:adjustRightInd w:val="0"/>
        <w:jc w:val="both"/>
      </w:pPr>
      <w:r>
        <w:t>Асташкевичем М</w:t>
      </w:r>
      <w:r w:rsidRPr="00E956FD">
        <w:t>.</w:t>
      </w:r>
      <w:r>
        <w:t>Д</w:t>
      </w:r>
      <w:r w:rsidRPr="00E956FD">
        <w:t>. - проведен</w:t>
      </w:r>
      <w:r>
        <w:t>о</w:t>
      </w:r>
      <w:r w:rsidRPr="00E956FD">
        <w:t xml:space="preserve"> </w:t>
      </w:r>
      <w:r w:rsidR="007E199A">
        <w:t>3</w:t>
      </w:r>
      <w:r w:rsidRPr="00E956FD">
        <w:t xml:space="preserve"> прием</w:t>
      </w:r>
      <w:r>
        <w:t>ов</w:t>
      </w:r>
      <w:r w:rsidRPr="00E956FD">
        <w:t>, принят</w:t>
      </w:r>
      <w:r>
        <w:t>о</w:t>
      </w:r>
      <w:r w:rsidRPr="00E956FD">
        <w:t xml:space="preserve"> </w:t>
      </w:r>
      <w:r w:rsidR="007E199A">
        <w:t>3</w:t>
      </w:r>
      <w:r w:rsidRPr="00E956FD">
        <w:t xml:space="preserve"> человек</w:t>
      </w:r>
      <w:r w:rsidR="007E199A">
        <w:t>а.</w:t>
      </w:r>
      <w:r w:rsidRPr="00E956FD">
        <w:t xml:space="preserve"> </w:t>
      </w:r>
    </w:p>
    <w:p w:rsidR="0015099E" w:rsidRDefault="0015099E" w:rsidP="0015099E">
      <w:pPr>
        <w:ind w:firstLine="709"/>
        <w:jc w:val="both"/>
      </w:pPr>
    </w:p>
    <w:p w:rsidR="0015099E" w:rsidRDefault="0015099E" w:rsidP="0015099E">
      <w:pPr>
        <w:ind w:firstLine="709"/>
        <w:jc w:val="both"/>
      </w:pPr>
      <w:r>
        <w:t>В ходе личных приемов были заданы вопросы по вопросам:</w:t>
      </w:r>
    </w:p>
    <w:p w:rsidR="0015099E" w:rsidRDefault="0015099E" w:rsidP="0015099E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576367" w:rsidTr="007C2B34">
        <w:trPr>
          <w:trHeight w:val="300"/>
        </w:trPr>
        <w:tc>
          <w:tcPr>
            <w:tcW w:w="8500" w:type="dxa"/>
            <w:shd w:val="clear" w:color="auto" w:fill="auto"/>
          </w:tcPr>
          <w:p w:rsidR="00576367" w:rsidRPr="00B05C44" w:rsidRDefault="00576367" w:rsidP="007C2B34">
            <w:pPr>
              <w:widowControl w:val="0"/>
              <w:jc w:val="center"/>
              <w:rPr>
                <w:b/>
                <w:bCs/>
              </w:rPr>
            </w:pPr>
            <w:r w:rsidRPr="00B05C44">
              <w:rPr>
                <w:b/>
                <w:bCs/>
              </w:rPr>
              <w:t>Тематика</w:t>
            </w:r>
          </w:p>
        </w:tc>
        <w:tc>
          <w:tcPr>
            <w:tcW w:w="1134" w:type="dxa"/>
          </w:tcPr>
          <w:p w:rsidR="00576367" w:rsidRPr="00B05C44" w:rsidRDefault="00576367" w:rsidP="007C2B34">
            <w:pPr>
              <w:widowControl w:val="0"/>
              <w:jc w:val="center"/>
              <w:rPr>
                <w:b/>
                <w:bCs/>
              </w:rPr>
            </w:pPr>
            <w:r w:rsidRPr="00B05C44">
              <w:rPr>
                <w:b/>
                <w:bCs/>
              </w:rPr>
              <w:t>Кол-во</w:t>
            </w:r>
          </w:p>
        </w:tc>
      </w:tr>
      <w:tr w:rsidR="00576367" w:rsidTr="007C2B34">
        <w:trPr>
          <w:trHeight w:val="6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F91144">
            <w:pPr>
              <w:rPr>
                <w:color w:val="000000"/>
              </w:rPr>
            </w:pPr>
            <w:r w:rsidRPr="00B05C44">
              <w:rPr>
                <w:color w:val="00000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134" w:type="dxa"/>
          </w:tcPr>
          <w:p w:rsidR="00576367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91144" w:rsidTr="001455C0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44" w:rsidRPr="00B05C44" w:rsidRDefault="00F91144" w:rsidP="00F91144">
            <w:pPr>
              <w:rPr>
                <w:color w:val="000000"/>
              </w:rPr>
            </w:pPr>
            <w:r w:rsidRPr="00B05C44">
              <w:rPr>
                <w:color w:val="00000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44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91144" w:rsidTr="001455C0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44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общего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91144" w:rsidTr="001455C0">
        <w:trPr>
          <w:trHeight w:val="600"/>
        </w:trPr>
        <w:tc>
          <w:tcPr>
            <w:tcW w:w="8500" w:type="dxa"/>
            <w:shd w:val="clear" w:color="auto" w:fill="auto"/>
            <w:vAlign w:val="bottom"/>
            <w:hideMark/>
          </w:tcPr>
          <w:p w:rsidR="00F91144" w:rsidRPr="00B05C44" w:rsidRDefault="00F91144" w:rsidP="00F91144">
            <w:pPr>
              <w:rPr>
                <w:color w:val="000000"/>
              </w:rPr>
            </w:pPr>
            <w:r w:rsidRPr="00B05C44">
              <w:rPr>
                <w:color w:val="00000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134" w:type="dxa"/>
          </w:tcPr>
          <w:p w:rsidR="00F91144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91144" w:rsidTr="00F91144">
        <w:trPr>
          <w:trHeight w:val="326"/>
        </w:trPr>
        <w:tc>
          <w:tcPr>
            <w:tcW w:w="8500" w:type="dxa"/>
            <w:shd w:val="clear" w:color="auto" w:fill="auto"/>
            <w:vAlign w:val="bottom"/>
          </w:tcPr>
          <w:p w:rsidR="00F91144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Выселение из жилища</w:t>
            </w:r>
          </w:p>
        </w:tc>
        <w:tc>
          <w:tcPr>
            <w:tcW w:w="1134" w:type="dxa"/>
          </w:tcPr>
          <w:p w:rsidR="00F911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91144" w:rsidTr="00F91144">
        <w:trPr>
          <w:trHeight w:val="289"/>
        </w:trPr>
        <w:tc>
          <w:tcPr>
            <w:tcW w:w="8500" w:type="dxa"/>
            <w:shd w:val="clear" w:color="auto" w:fill="auto"/>
            <w:vAlign w:val="bottom"/>
          </w:tcPr>
          <w:p w:rsidR="00F911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объектов социальной сферы</w:t>
            </w:r>
          </w:p>
        </w:tc>
        <w:tc>
          <w:tcPr>
            <w:tcW w:w="1134" w:type="dxa"/>
          </w:tcPr>
          <w:p w:rsidR="00F911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91144" w:rsidTr="00F91144">
        <w:trPr>
          <w:trHeight w:val="264"/>
        </w:trPr>
        <w:tc>
          <w:tcPr>
            <w:tcW w:w="8500" w:type="dxa"/>
            <w:shd w:val="clear" w:color="auto" w:fill="auto"/>
            <w:vAlign w:val="bottom"/>
          </w:tcPr>
          <w:p w:rsidR="00F911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Градостроительство , архитектура и проектирование</w:t>
            </w:r>
          </w:p>
        </w:tc>
        <w:tc>
          <w:tcPr>
            <w:tcW w:w="1134" w:type="dxa"/>
          </w:tcPr>
          <w:p w:rsidR="00F911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91144" w:rsidTr="001455C0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44" w:rsidRPr="00B05C44" w:rsidRDefault="00F91144" w:rsidP="00F91144">
            <w:pPr>
              <w:rPr>
                <w:color w:val="000000"/>
              </w:rPr>
            </w:pPr>
            <w:r w:rsidRPr="00CD7253">
              <w:rPr>
                <w:color w:val="000000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44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91144" w:rsidTr="001455C0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44" w:rsidRPr="00CD7253" w:rsidRDefault="00F91144" w:rsidP="00F91144">
            <w:pPr>
              <w:rPr>
                <w:color w:val="000000"/>
              </w:rPr>
            </w:pPr>
            <w:r w:rsidRPr="00B05C44">
              <w:rPr>
                <w:color w:val="000000"/>
              </w:rPr>
              <w:t>Комплексное 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91144" w:rsidTr="001455C0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44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Среднее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91144" w:rsidTr="001455C0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44" w:rsidRPr="00B05C44" w:rsidRDefault="00F91144" w:rsidP="00F91144">
            <w:pPr>
              <w:rPr>
                <w:color w:val="000000"/>
              </w:rPr>
            </w:pPr>
            <w:r w:rsidRPr="00B05C44">
              <w:rPr>
                <w:color w:val="00000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44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91144" w:rsidTr="001455C0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44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Награждение государственными наградами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7C2B34">
        <w:trPr>
          <w:trHeight w:val="752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F91144">
            <w:pPr>
              <w:rPr>
                <w:color w:val="000000"/>
              </w:rPr>
            </w:pPr>
            <w:r w:rsidRPr="00B05C44">
              <w:rPr>
                <w:color w:val="000000"/>
              </w:rPr>
              <w:lastRenderedPageBreak/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134" w:type="dxa"/>
          </w:tcPr>
          <w:p w:rsidR="00576367" w:rsidRPr="00B05C44" w:rsidRDefault="00F91144" w:rsidP="00F9114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76367" w:rsidTr="007C2B34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F91144">
            <w:pPr>
              <w:rPr>
                <w:color w:val="000000"/>
              </w:rPr>
            </w:pPr>
            <w:r w:rsidRPr="00B05C44">
              <w:rPr>
                <w:color w:val="000000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134" w:type="dxa"/>
          </w:tcPr>
          <w:p w:rsidR="00576367" w:rsidRPr="00B05C44" w:rsidRDefault="00680F78" w:rsidP="00680F7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15099E" w:rsidRDefault="0015099E" w:rsidP="0015099E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 w:rsidR="00680F78">
        <w:t>497</w:t>
      </w:r>
      <w:r w:rsidRPr="00923826">
        <w:t xml:space="preserve"> обращени</w:t>
      </w:r>
      <w:r w:rsidR="00680F78">
        <w:t>й</w:t>
      </w:r>
      <w:r w:rsidRPr="00923826">
        <w:t xml:space="preserve"> граждан </w:t>
      </w:r>
      <w:r w:rsidR="00680F78">
        <w:br/>
      </w:r>
      <w:r w:rsidRPr="00923826">
        <w:t xml:space="preserve">и юридических лиц (обращения, поступившие от Губернатора, вице-губернаторов СПб, об организации личного приема и т.д.). </w:t>
      </w:r>
    </w:p>
    <w:p w:rsidR="0015099E" w:rsidRDefault="0015099E" w:rsidP="0015099E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576367" w:rsidRDefault="00576367" w:rsidP="00576367">
      <w:pPr>
        <w:pStyle w:val="af2"/>
        <w:spacing w:before="0" w:beforeAutospacing="0" w:after="0" w:afterAutospacing="0"/>
        <w:ind w:firstLine="709"/>
        <w:jc w:val="both"/>
      </w:pPr>
      <w:r>
        <w:t xml:space="preserve">социальная сфера – </w:t>
      </w:r>
      <w:r w:rsidR="00680F78">
        <w:t>32,9%</w:t>
      </w:r>
    </w:p>
    <w:p w:rsidR="00680F78" w:rsidRDefault="00576367" w:rsidP="00576367">
      <w:pPr>
        <w:pStyle w:val="af2"/>
        <w:spacing w:before="0" w:beforeAutospacing="0" w:after="0" w:afterAutospacing="0"/>
        <w:ind w:firstLine="709"/>
        <w:jc w:val="both"/>
      </w:pPr>
      <w:r>
        <w:t xml:space="preserve">жилищно-коммунальная сфера – </w:t>
      </w:r>
      <w:r w:rsidR="00680F78">
        <w:t>28,3%</w:t>
      </w:r>
    </w:p>
    <w:p w:rsidR="00576367" w:rsidRDefault="00576367" w:rsidP="00576367">
      <w:pPr>
        <w:pStyle w:val="af2"/>
        <w:spacing w:before="0" w:beforeAutospacing="0" w:after="0" w:afterAutospacing="0"/>
        <w:ind w:firstLine="709"/>
        <w:jc w:val="both"/>
      </w:pPr>
      <w:r>
        <w:t xml:space="preserve">экономика – </w:t>
      </w:r>
      <w:r w:rsidR="00680F78">
        <w:t>25,7%</w:t>
      </w:r>
    </w:p>
    <w:p w:rsidR="00576367" w:rsidRDefault="00576367" w:rsidP="00576367">
      <w:pPr>
        <w:pStyle w:val="af2"/>
        <w:tabs>
          <w:tab w:val="left" w:pos="7200"/>
        </w:tabs>
        <w:spacing w:before="0" w:beforeAutospacing="0" w:after="0" w:afterAutospacing="0"/>
        <w:ind w:firstLine="709"/>
        <w:jc w:val="both"/>
      </w:pPr>
      <w:r>
        <w:t xml:space="preserve">оборона, безопасность, законность – </w:t>
      </w:r>
      <w:r w:rsidR="00680F78">
        <w:t>8,6%</w:t>
      </w:r>
      <w:r>
        <w:tab/>
      </w:r>
    </w:p>
    <w:p w:rsidR="00576367" w:rsidRDefault="00576367" w:rsidP="00576367">
      <w:pPr>
        <w:pStyle w:val="af2"/>
        <w:spacing w:before="0" w:beforeAutospacing="0" w:after="0" w:afterAutospacing="0"/>
        <w:ind w:firstLine="709"/>
        <w:jc w:val="both"/>
      </w:pPr>
      <w:r>
        <w:t xml:space="preserve">государство, общество и политика – </w:t>
      </w:r>
      <w:r w:rsidR="00680F78">
        <w:t>5%</w:t>
      </w:r>
    </w:p>
    <w:p w:rsidR="004A238D" w:rsidRDefault="004A238D" w:rsidP="001A17A6">
      <w:pPr>
        <w:ind w:firstLine="709"/>
        <w:jc w:val="both"/>
      </w:pPr>
    </w:p>
    <w:p w:rsidR="002E22ED" w:rsidRDefault="00823314" w:rsidP="002E22ED">
      <w:pPr>
        <w:pStyle w:val="af2"/>
        <w:spacing w:before="0" w:beforeAutospacing="0" w:after="0" w:afterAutospacing="0"/>
        <w:ind w:firstLine="709"/>
        <w:jc w:val="both"/>
      </w:pPr>
      <w:r>
        <w:t> </w:t>
      </w:r>
      <w:r w:rsidR="002E22ED">
        <w:rPr>
          <w:rStyle w:val="aff"/>
        </w:rPr>
        <w:t>Жилищно-коммунальная сфера</w:t>
      </w:r>
    </w:p>
    <w:p w:rsidR="001A352D" w:rsidRDefault="00850539" w:rsidP="001A352D">
      <w:pPr>
        <w:pStyle w:val="af2"/>
        <w:spacing w:before="0" w:beforeAutospacing="0" w:after="0" w:afterAutospacing="0"/>
        <w:ind w:firstLine="709"/>
        <w:jc w:val="both"/>
      </w:pPr>
      <w:r w:rsidRPr="00413C83">
        <w:t> </w:t>
      </w:r>
      <w:r w:rsidR="001A352D" w:rsidRPr="00413C83">
        <w:t>В целом количество обращений в разделе «Жилищно-коммунальная сфера» осталось на прежнем уровне</w:t>
      </w:r>
      <w:r w:rsidR="001A352D">
        <w:t xml:space="preserve">, по сравнению с </w:t>
      </w:r>
      <w:r w:rsidR="00680F78">
        <w:t>3</w:t>
      </w:r>
      <w:r w:rsidR="001A352D">
        <w:t xml:space="preserve"> кварталом 2020 года, и уменьшилось на </w:t>
      </w:r>
      <w:r w:rsidR="00680F78">
        <w:t>158</w:t>
      </w:r>
      <w:r w:rsidR="001A352D">
        <w:t xml:space="preserve"> обращений по сравнению с </w:t>
      </w:r>
      <w:r w:rsidR="00680F78">
        <w:t>4</w:t>
      </w:r>
      <w:r w:rsidR="001A352D">
        <w:t xml:space="preserve"> кварталом 2019 года</w:t>
      </w:r>
      <w:r w:rsidR="001A352D" w:rsidRPr="00413C83">
        <w:t xml:space="preserve">. </w:t>
      </w:r>
      <w:r w:rsidR="001A352D">
        <w:t xml:space="preserve">Уменьшение количества обращений прошло </w:t>
      </w:r>
      <w:r w:rsidR="00A360E6">
        <w:br/>
      </w:r>
      <w:r w:rsidR="001A352D">
        <w:t xml:space="preserve">по основным подтематикам </w:t>
      </w:r>
      <w:r w:rsidR="001A352D" w:rsidRPr="008F210F">
        <w:rPr>
          <w:u w:val="single"/>
        </w:rPr>
        <w:t>«Коммунальное хозяйство»: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</w:r>
      <w:r>
        <w:t xml:space="preserve">на </w:t>
      </w:r>
      <w:r w:rsidR="009146AF">
        <w:t>72</w:t>
      </w:r>
      <w:r>
        <w:t xml:space="preserve"> обращени</w:t>
      </w:r>
      <w:r w:rsidR="009146AF">
        <w:t>я</w:t>
      </w:r>
      <w:r>
        <w:t xml:space="preserve"> </w:t>
      </w:r>
    </w:p>
    <w:p w:rsidR="001A352D" w:rsidRDefault="001A352D" w:rsidP="001A352D">
      <w:pPr>
        <w:pStyle w:val="af2"/>
        <w:spacing w:before="0" w:beforeAutospacing="0" w:after="0" w:afterAutospacing="0"/>
        <w:jc w:val="both"/>
      </w:pPr>
      <w:r w:rsidRPr="00413C83">
        <w:t>- Управляющие организации, товарищества собственников жилья и иные форм</w:t>
      </w:r>
      <w:r>
        <w:t xml:space="preserve">ы управления собственностью – на </w:t>
      </w:r>
      <w:r w:rsidR="009146AF">
        <w:t>35</w:t>
      </w:r>
      <w:r>
        <w:t xml:space="preserve"> обращений</w:t>
      </w:r>
    </w:p>
    <w:p w:rsidR="001A352D" w:rsidRDefault="001A352D" w:rsidP="001A352D">
      <w:pPr>
        <w:pStyle w:val="af2"/>
        <w:spacing w:before="0" w:beforeAutospacing="0" w:after="0" w:afterAutospacing="0"/>
        <w:jc w:val="both"/>
      </w:pPr>
      <w:r w:rsidRPr="00413C83">
        <w:t>- Эксплуатация и ремонт государственного, муниципального и ведо</w:t>
      </w:r>
      <w:r>
        <w:t xml:space="preserve">мственного жилищного фондов – на </w:t>
      </w:r>
      <w:r w:rsidR="009146AF">
        <w:t xml:space="preserve">10 </w:t>
      </w:r>
      <w:r>
        <w:t>обращени</w:t>
      </w:r>
      <w:r w:rsidR="009146AF">
        <w:t>й</w:t>
      </w:r>
    </w:p>
    <w:p w:rsidR="001A352D" w:rsidRPr="00D05CF6" w:rsidRDefault="001A352D" w:rsidP="001A352D">
      <w:pPr>
        <w:pStyle w:val="af2"/>
        <w:spacing w:before="0" w:beforeAutospacing="0" w:after="0" w:afterAutospacing="0"/>
        <w:jc w:val="both"/>
      </w:pPr>
      <w:r w:rsidRPr="00D05CF6">
        <w:rPr>
          <w:color w:val="000000"/>
        </w:rPr>
        <w:t>- Перебои в теплоснабжении</w:t>
      </w:r>
      <w:r>
        <w:rPr>
          <w:color w:val="000000"/>
        </w:rPr>
        <w:t xml:space="preserve"> </w:t>
      </w:r>
      <w:r w:rsidRPr="00D05CF6">
        <w:rPr>
          <w:color w:val="000000"/>
        </w:rPr>
        <w:t xml:space="preserve">– на </w:t>
      </w:r>
      <w:r w:rsidR="00931418">
        <w:rPr>
          <w:color w:val="000000"/>
        </w:rPr>
        <w:t>6</w:t>
      </w:r>
      <w:r w:rsidRPr="00D05CF6">
        <w:rPr>
          <w:color w:val="000000"/>
        </w:rPr>
        <w:t xml:space="preserve"> обращени</w:t>
      </w:r>
      <w:r w:rsidR="00931418">
        <w:rPr>
          <w:color w:val="000000"/>
        </w:rPr>
        <w:t>й</w:t>
      </w:r>
    </w:p>
    <w:p w:rsidR="001A352D" w:rsidRDefault="001A352D" w:rsidP="001A352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51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6"/>
        <w:gridCol w:w="772"/>
        <w:gridCol w:w="1017"/>
        <w:gridCol w:w="834"/>
        <w:gridCol w:w="834"/>
      </w:tblGrid>
      <w:tr w:rsidR="001A352D" w:rsidRPr="00DD7218" w:rsidTr="007C2B34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Default="001A352D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DD7218" w:rsidRDefault="001A352D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834" w:type="dxa"/>
          </w:tcPr>
          <w:p w:rsidR="001A352D" w:rsidRPr="00DD7218" w:rsidRDefault="001A352D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</w:tr>
      <w:tr w:rsidR="001A352D" w:rsidRPr="00DD7218" w:rsidTr="007C2B34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pPr>
              <w:jc w:val="center"/>
            </w:pPr>
            <w:r w:rsidRPr="00DD7218">
              <w:rPr>
                <w:rFonts w:eastAsia="Segoe UI"/>
                <w:b/>
              </w:rPr>
              <w:t>Жилище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9146AF">
            <w:pPr>
              <w:jc w:val="center"/>
              <w:rPr>
                <w:b/>
              </w:rPr>
            </w:pPr>
            <w:r w:rsidRPr="001A352D">
              <w:rPr>
                <w:b/>
              </w:rPr>
              <w:t>6</w:t>
            </w:r>
            <w:r w:rsidR="009146AF">
              <w:rPr>
                <w:b/>
              </w:rPr>
              <w:t>42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7C2B34">
            <w:pPr>
              <w:jc w:val="center"/>
              <w:rPr>
                <w:b/>
              </w:rPr>
            </w:pPr>
            <w:r w:rsidRPr="001A352D">
              <w:rPr>
                <w:b/>
              </w:rPr>
              <w:t>100%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7C2B34" w:rsidP="009146AF">
            <w:pPr>
              <w:jc w:val="center"/>
              <w:textAlignment w:val="top"/>
              <w:rPr>
                <w:b/>
                <w:bCs/>
              </w:rPr>
            </w:pPr>
            <w:hyperlink r:id="rId13" w:tgtFrame="_top" w:history="1">
              <w:r w:rsidR="001A352D" w:rsidRPr="001A352D">
                <w:rPr>
                  <w:rStyle w:val="af7"/>
                  <w:b/>
                  <w:bCs/>
                  <w:color w:val="auto"/>
                  <w:u w:val="none"/>
                </w:rPr>
                <w:t>7</w:t>
              </w:r>
              <w:r w:rsidR="009146AF">
                <w:rPr>
                  <w:rStyle w:val="af7"/>
                  <w:b/>
                  <w:bCs/>
                  <w:color w:val="auto"/>
                  <w:u w:val="none"/>
                </w:rPr>
                <w:t>66</w:t>
              </w:r>
            </w:hyperlink>
          </w:p>
        </w:tc>
        <w:tc>
          <w:tcPr>
            <w:tcW w:w="834" w:type="dxa"/>
          </w:tcPr>
          <w:p w:rsidR="001A352D" w:rsidRPr="001A352D" w:rsidRDefault="001A352D" w:rsidP="007C2B34">
            <w:pPr>
              <w:jc w:val="center"/>
              <w:textAlignment w:val="top"/>
              <w:rPr>
                <w:b/>
                <w:bCs/>
              </w:rPr>
            </w:pPr>
            <w:r w:rsidRPr="001A352D">
              <w:rPr>
                <w:b/>
                <w:bCs/>
              </w:rPr>
              <w:t>100%</w:t>
            </w:r>
          </w:p>
        </w:tc>
      </w:tr>
      <w:tr w:rsidR="001A352D" w:rsidRPr="00DD7218" w:rsidTr="007C2B34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r w:rsidRPr="00DD7218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7C2B34" w:rsidP="007C2B34">
            <w:pPr>
              <w:jc w:val="center"/>
              <w:textAlignment w:val="top"/>
            </w:pPr>
            <w:hyperlink r:id="rId14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1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0,</w:t>
            </w:r>
            <w:r w:rsidR="009146AF">
              <w:t>2</w:t>
            </w:r>
            <w:r w:rsidRPr="001A352D">
              <w:t>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3</w:t>
            </w:r>
          </w:p>
        </w:tc>
        <w:tc>
          <w:tcPr>
            <w:tcW w:w="834" w:type="dxa"/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0,</w:t>
            </w:r>
            <w:r w:rsidR="009146AF">
              <w:t>4</w:t>
            </w:r>
            <w:r w:rsidRPr="001A352D">
              <w:t>%</w:t>
            </w:r>
          </w:p>
        </w:tc>
      </w:tr>
      <w:tr w:rsidR="001A352D" w:rsidRPr="00DD7218" w:rsidTr="007C2B34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r w:rsidRPr="00DD7218">
              <w:rPr>
                <w:rFonts w:eastAsia="Segoe UI"/>
              </w:rPr>
              <w:t>Жилищный фонд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7C2B34" w:rsidP="009146AF">
            <w:pPr>
              <w:jc w:val="center"/>
              <w:textAlignment w:val="top"/>
            </w:pPr>
            <w:hyperlink r:id="rId15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5</w:t>
              </w:r>
              <w:r w:rsidR="009146AF">
                <w:rPr>
                  <w:rStyle w:val="af7"/>
                  <w:color w:val="auto"/>
                  <w:u w:val="none"/>
                </w:rPr>
                <w:t>6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t>8</w:t>
            </w:r>
            <w:r w:rsidR="001A352D" w:rsidRPr="001A352D">
              <w:t>,</w:t>
            </w:r>
            <w:r>
              <w:t>7</w:t>
            </w:r>
            <w:r w:rsidR="001A352D" w:rsidRPr="001A352D">
              <w:t>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19</w:t>
            </w:r>
          </w:p>
        </w:tc>
        <w:tc>
          <w:tcPr>
            <w:tcW w:w="834" w:type="dxa"/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t>2,5</w:t>
            </w:r>
            <w:r w:rsidR="001A352D" w:rsidRPr="001A352D">
              <w:t>%</w:t>
            </w:r>
          </w:p>
        </w:tc>
      </w:tr>
      <w:tr w:rsidR="001A352D" w:rsidRPr="00DD7218" w:rsidTr="007C2B34">
        <w:trPr>
          <w:trHeight w:val="262"/>
        </w:trPr>
        <w:tc>
          <w:tcPr>
            <w:tcW w:w="6056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r w:rsidRPr="00DD7218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72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178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t>27</w:t>
            </w:r>
            <w:r w:rsidR="001A352D" w:rsidRPr="001A352D">
              <w:t>,</w:t>
            </w:r>
            <w:r>
              <w:t>7</w:t>
            </w:r>
            <w:r w:rsidR="001A352D" w:rsidRPr="001A352D">
              <w:t>%</w:t>
            </w:r>
          </w:p>
        </w:tc>
        <w:tc>
          <w:tcPr>
            <w:tcW w:w="8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t>206</w:t>
            </w:r>
          </w:p>
        </w:tc>
        <w:tc>
          <w:tcPr>
            <w:tcW w:w="834" w:type="dxa"/>
            <w:shd w:val="clear" w:color="auto" w:fill="FFFFFF" w:themeFill="background1"/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2</w:t>
            </w:r>
            <w:r w:rsidR="009146AF">
              <w:t>6</w:t>
            </w:r>
            <w:r w:rsidRPr="001A352D">
              <w:t>,</w:t>
            </w:r>
            <w:r w:rsidR="009146AF">
              <w:t>9</w:t>
            </w:r>
            <w:r w:rsidRPr="001A352D">
              <w:t>%</w:t>
            </w:r>
          </w:p>
        </w:tc>
      </w:tr>
      <w:tr w:rsidR="001A352D" w:rsidRPr="00DD7218" w:rsidTr="007C2B34">
        <w:trPr>
          <w:trHeight w:val="262"/>
        </w:trPr>
        <w:tc>
          <w:tcPr>
            <w:tcW w:w="6056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r w:rsidRPr="00DD7218">
              <w:rPr>
                <w:rFonts w:eastAsia="Segoe UI"/>
              </w:rPr>
              <w:t>Коммунальное хозяйство</w:t>
            </w:r>
          </w:p>
        </w:tc>
        <w:tc>
          <w:tcPr>
            <w:tcW w:w="772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7C2B34" w:rsidP="009146AF">
            <w:pPr>
              <w:jc w:val="center"/>
              <w:textAlignment w:val="top"/>
            </w:pPr>
            <w:hyperlink r:id="rId16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3</w:t>
              </w:r>
              <w:r w:rsidR="009146AF">
                <w:rPr>
                  <w:rStyle w:val="af7"/>
                  <w:color w:val="auto"/>
                  <w:u w:val="none"/>
                </w:rPr>
                <w:t>78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t>60</w:t>
            </w:r>
            <w:r w:rsidR="001A352D" w:rsidRPr="001A352D">
              <w:t>,</w:t>
            </w:r>
            <w:r>
              <w:t>3</w:t>
            </w:r>
            <w:r w:rsidR="001A352D" w:rsidRPr="001A352D">
              <w:t>%</w:t>
            </w:r>
          </w:p>
        </w:tc>
        <w:tc>
          <w:tcPr>
            <w:tcW w:w="8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A352D" w:rsidRPr="001A352D" w:rsidRDefault="007C2B34" w:rsidP="009146AF">
            <w:pPr>
              <w:jc w:val="center"/>
              <w:textAlignment w:val="top"/>
            </w:pPr>
            <w:hyperlink r:id="rId17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51</w:t>
              </w:r>
              <w:r w:rsidR="009146AF">
                <w:rPr>
                  <w:rStyle w:val="af7"/>
                  <w:color w:val="auto"/>
                  <w:u w:val="none"/>
                </w:rPr>
                <w:t>5</w:t>
              </w:r>
            </w:hyperlink>
          </w:p>
        </w:tc>
        <w:tc>
          <w:tcPr>
            <w:tcW w:w="834" w:type="dxa"/>
            <w:shd w:val="clear" w:color="auto" w:fill="F2F2F2" w:themeFill="background1" w:themeFillShade="F2"/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6</w:t>
            </w:r>
            <w:r w:rsidR="009146AF">
              <w:t>7</w:t>
            </w:r>
            <w:r w:rsidRPr="001A352D">
              <w:t>,</w:t>
            </w:r>
            <w:r w:rsidR="009146AF">
              <w:t>2</w:t>
            </w:r>
            <w:r w:rsidRPr="001A352D">
              <w:t>%</w:t>
            </w:r>
          </w:p>
        </w:tc>
      </w:tr>
      <w:tr w:rsidR="001A352D" w:rsidRPr="00DD7218" w:rsidTr="007C2B34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r w:rsidRPr="00DD7218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6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0,</w:t>
            </w:r>
            <w:r w:rsidR="009146AF">
              <w:t>9</w:t>
            </w:r>
            <w:r w:rsidRPr="001A352D">
              <w:t>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3</w:t>
            </w:r>
          </w:p>
        </w:tc>
        <w:tc>
          <w:tcPr>
            <w:tcW w:w="834" w:type="dxa"/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0,</w:t>
            </w:r>
            <w:r w:rsidR="009146AF">
              <w:t>4</w:t>
            </w:r>
            <w:r w:rsidRPr="001A352D">
              <w:t>%</w:t>
            </w:r>
          </w:p>
        </w:tc>
      </w:tr>
      <w:tr w:rsidR="001A352D" w:rsidRPr="00DD7218" w:rsidTr="007C2B34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r w:rsidRPr="00DD7218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3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0,</w:t>
            </w:r>
            <w:r w:rsidR="009146AF">
              <w:t>5</w:t>
            </w:r>
            <w:r w:rsidRPr="001A352D">
              <w:t>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2</w:t>
            </w:r>
          </w:p>
        </w:tc>
        <w:tc>
          <w:tcPr>
            <w:tcW w:w="834" w:type="dxa"/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0,</w:t>
            </w:r>
            <w:r w:rsidR="009146AF">
              <w:t>3</w:t>
            </w:r>
            <w:r w:rsidRPr="001A352D">
              <w:t>%</w:t>
            </w:r>
          </w:p>
        </w:tc>
      </w:tr>
      <w:tr w:rsidR="001A352D" w:rsidRPr="00DD7218" w:rsidTr="007C2B34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r w:rsidRPr="00DD7218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2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7C2B34">
            <w:pPr>
              <w:jc w:val="center"/>
              <w:textAlignment w:val="top"/>
            </w:pPr>
            <w:r w:rsidRPr="001A352D">
              <w:t>0,3%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4" w:space="0" w:color="auto"/>
            </w:tcBorders>
          </w:tcPr>
          <w:p w:rsidR="001A352D" w:rsidRPr="001A352D" w:rsidRDefault="009146AF" w:rsidP="009146AF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</w:t>
            </w:r>
          </w:p>
        </w:tc>
        <w:tc>
          <w:tcPr>
            <w:tcW w:w="834" w:type="dxa"/>
          </w:tcPr>
          <w:p w:rsidR="001A352D" w:rsidRPr="001A352D" w:rsidRDefault="001A352D" w:rsidP="007C2B34">
            <w:pPr>
              <w:jc w:val="center"/>
              <w:rPr>
                <w:rFonts w:eastAsia="Segoe UI"/>
              </w:rPr>
            </w:pPr>
            <w:r w:rsidRPr="001A352D">
              <w:rPr>
                <w:rFonts w:eastAsia="Segoe UI"/>
              </w:rPr>
              <w:t>0</w:t>
            </w:r>
            <w:r w:rsidR="009146AF">
              <w:rPr>
                <w:rFonts w:eastAsia="Segoe UI"/>
              </w:rPr>
              <w:t>,3%</w:t>
            </w:r>
          </w:p>
        </w:tc>
      </w:tr>
      <w:tr w:rsidR="001A352D" w:rsidRPr="00DD7218" w:rsidTr="007C2B34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7C2B34">
            <w:r w:rsidRPr="00DD7218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7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t>1</w:t>
            </w:r>
            <w:r w:rsidR="001A352D" w:rsidRPr="001A352D">
              <w:t>,2%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1</w:t>
            </w:r>
            <w:hyperlink r:id="rId18" w:tgtFrame="_top" w:history="1">
              <w:r>
                <w:rPr>
                  <w:rStyle w:val="af7"/>
                  <w:color w:val="auto"/>
                  <w:u w:val="none"/>
                </w:rPr>
                <w:t>4</w:t>
              </w:r>
            </w:hyperlink>
          </w:p>
        </w:tc>
        <w:tc>
          <w:tcPr>
            <w:tcW w:w="834" w:type="dxa"/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1,</w:t>
            </w:r>
            <w:r w:rsidR="009146AF">
              <w:t>8</w:t>
            </w:r>
            <w:r w:rsidRPr="001A352D">
              <w:t>%</w:t>
            </w:r>
          </w:p>
        </w:tc>
      </w:tr>
      <w:tr w:rsidR="001A352D" w:rsidRPr="006568A7" w:rsidTr="007C2B34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6568A7" w:rsidRDefault="001A352D" w:rsidP="007C2B34">
            <w:pPr>
              <w:rPr>
                <w:rFonts w:eastAsia="Segoe UI"/>
              </w:rPr>
            </w:pPr>
            <w:r w:rsidRPr="006568A7">
              <w:rPr>
                <w:color w:val="000000"/>
              </w:rPr>
              <w:t>Риэлторская деятельность (в жилищном фонде)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9146AF" w:rsidP="009146AF">
            <w:pPr>
              <w:jc w:val="center"/>
              <w:textAlignment w:val="top"/>
            </w:pPr>
            <w:r>
              <w:rPr>
                <w:rStyle w:val="af7"/>
                <w:color w:val="auto"/>
                <w:u w:val="none"/>
              </w:rPr>
              <w:t>1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9146AF">
            <w:pPr>
              <w:jc w:val="center"/>
              <w:textAlignment w:val="top"/>
            </w:pPr>
            <w:r w:rsidRPr="001A352D">
              <w:t>0,</w:t>
            </w:r>
            <w:r w:rsidR="009146AF">
              <w:t>2</w:t>
            </w:r>
            <w:r w:rsidRPr="001A352D">
              <w:t>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7C2B34" w:rsidP="007C2B34">
            <w:pPr>
              <w:jc w:val="center"/>
              <w:textAlignment w:val="top"/>
            </w:pPr>
            <w:hyperlink r:id="rId19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2</w:t>
              </w:r>
            </w:hyperlink>
          </w:p>
        </w:tc>
        <w:tc>
          <w:tcPr>
            <w:tcW w:w="834" w:type="dxa"/>
          </w:tcPr>
          <w:p w:rsidR="001A352D" w:rsidRPr="001A352D" w:rsidRDefault="001A352D" w:rsidP="007C2B34">
            <w:pPr>
              <w:jc w:val="center"/>
              <w:textAlignment w:val="top"/>
            </w:pPr>
            <w:r w:rsidRPr="001A352D">
              <w:t>0,3%</w:t>
            </w:r>
          </w:p>
        </w:tc>
      </w:tr>
    </w:tbl>
    <w:p w:rsidR="001A352D" w:rsidRDefault="001A352D" w:rsidP="001A352D">
      <w:pPr>
        <w:pStyle w:val="af2"/>
        <w:spacing w:before="0" w:beforeAutospacing="0" w:after="0" w:afterAutospacing="0"/>
        <w:ind w:firstLine="709"/>
        <w:jc w:val="both"/>
      </w:pPr>
    </w:p>
    <w:p w:rsidR="001A352D" w:rsidRDefault="001A352D" w:rsidP="001A352D">
      <w:pPr>
        <w:pStyle w:val="af2"/>
        <w:spacing w:before="0" w:beforeAutospacing="0" w:after="0" w:afterAutospacing="0"/>
        <w:ind w:firstLine="709"/>
        <w:jc w:val="both"/>
      </w:pPr>
      <w:r>
        <w:t>8</w:t>
      </w:r>
      <w:r w:rsidR="009146AF">
        <w:t>8</w:t>
      </w:r>
      <w:r w:rsidRPr="00413C83">
        <w:t xml:space="preserve">% обращений данного раздела содержали вопросы тем: «Коммунальное хозяйство» и «Обеспечение граждан жилищем, пользование жилищным фондом, социальные гарантии в </w:t>
      </w:r>
      <w:r w:rsidRPr="00413C83">
        <w:lastRenderedPageBreak/>
        <w:t>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организаций: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</w:r>
      <w:r w:rsidR="009146AF">
        <w:t>112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Оплата жилищно-коммунальных услуг (ЖКХ), взносов в Фонд капитального ремонта –</w:t>
      </w:r>
      <w:r w:rsidR="009146AF">
        <w:t>24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Управляющие организации, товарищества собственников жилья и иные форм</w:t>
      </w:r>
      <w:r>
        <w:t xml:space="preserve">ы управления собственностью – </w:t>
      </w:r>
      <w:r w:rsidR="009146AF">
        <w:t>13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Эксплуатация и ремонт государственного, муниципального и ведо</w:t>
      </w:r>
      <w:r>
        <w:t xml:space="preserve">мственного жилищного фондов – </w:t>
      </w:r>
      <w:r w:rsidR="009146AF">
        <w:t>17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 xml:space="preserve">- Предоставление коммунальных услуг ненадлежащего качества </w:t>
      </w:r>
      <w:r w:rsidR="00931418">
        <w:t xml:space="preserve">– </w:t>
      </w:r>
      <w:r>
        <w:t>5</w:t>
      </w:r>
      <w:r w:rsidR="00931418">
        <w:t>0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Коммунально-бытовое хозяйство и предоставл</w:t>
      </w:r>
      <w:r>
        <w:t>ение услуг в условиях рынка –</w:t>
      </w:r>
      <w:r w:rsidR="00931418">
        <w:t>19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Капитальный ремонт общего имущества –</w:t>
      </w:r>
      <w:r>
        <w:t xml:space="preserve"> 2</w:t>
      </w:r>
      <w:r w:rsidR="00931418">
        <w:t>4</w:t>
      </w:r>
    </w:p>
    <w:p w:rsidR="001A352D" w:rsidRPr="00EC13EE" w:rsidRDefault="001A352D" w:rsidP="001A352D">
      <w:pPr>
        <w:pStyle w:val="af2"/>
        <w:spacing w:before="0" w:beforeAutospacing="0" w:after="0" w:afterAutospacing="0"/>
        <w:jc w:val="both"/>
      </w:pPr>
      <w:r w:rsidRPr="00EC13EE">
        <w:t xml:space="preserve">- </w:t>
      </w:r>
      <w:r w:rsidRPr="00EC13EE">
        <w:rPr>
          <w:color w:val="000000"/>
        </w:rPr>
        <w:t xml:space="preserve">Перебои в водоснабжении </w:t>
      </w:r>
      <w:r>
        <w:rPr>
          <w:color w:val="000000"/>
        </w:rPr>
        <w:t>–</w:t>
      </w:r>
      <w:r w:rsidRPr="00EC13EE">
        <w:rPr>
          <w:color w:val="000000"/>
        </w:rPr>
        <w:t xml:space="preserve"> </w:t>
      </w:r>
      <w:r w:rsidR="00931418">
        <w:rPr>
          <w:color w:val="000000"/>
        </w:rPr>
        <w:t>17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 xml:space="preserve">- Перебои в теплоснабжении – </w:t>
      </w:r>
      <w:r w:rsidR="00931418">
        <w:t>28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Несанк</w:t>
      </w:r>
      <w:r>
        <w:t xml:space="preserve">ционированная свалка мусора – </w:t>
      </w:r>
      <w:r w:rsidR="00931418">
        <w:t>6</w:t>
      </w:r>
    </w:p>
    <w:p w:rsidR="001A352D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Приватизация жили</w:t>
      </w:r>
      <w:r>
        <w:t xml:space="preserve">щного фонда. Деприватизация – </w:t>
      </w:r>
      <w:r w:rsidR="00931418">
        <w:t>53</w:t>
      </w:r>
    </w:p>
    <w:p w:rsidR="001A352D" w:rsidRDefault="001A352D" w:rsidP="001A352D">
      <w:pPr>
        <w:pStyle w:val="af2"/>
        <w:spacing w:before="0" w:beforeAutospacing="0" w:after="0" w:afterAutospacing="0"/>
        <w:jc w:val="both"/>
      </w:pPr>
      <w:r w:rsidRPr="00413C83">
        <w:t>- Условия проживания в связи со строительством или работой объектов</w:t>
      </w:r>
      <w:r>
        <w:t xml:space="preserve"> коммунального обслуживания – </w:t>
      </w:r>
      <w:r w:rsidR="00931418">
        <w:t>14</w:t>
      </w:r>
    </w:p>
    <w:p w:rsidR="00931418" w:rsidRDefault="00931418" w:rsidP="00931418">
      <w:pPr>
        <w:ind w:firstLine="567"/>
        <w:jc w:val="both"/>
        <w:rPr>
          <w:rFonts w:eastAsia="Microsoft Sans Serif"/>
          <w:color w:val="000000"/>
          <w:lang w:bidi="ru-RU"/>
        </w:rPr>
      </w:pPr>
      <w:r>
        <w:rPr>
          <w:rFonts w:eastAsia="Microsoft Sans Serif"/>
          <w:color w:val="000000"/>
          <w:lang w:bidi="ru-RU"/>
        </w:rPr>
        <w:t>Администрацией о</w:t>
      </w:r>
      <w:r w:rsidRPr="00AD2157">
        <w:rPr>
          <w:rFonts w:eastAsia="Microsoft Sans Serif"/>
          <w:color w:val="000000"/>
          <w:lang w:bidi="ru-RU"/>
        </w:rPr>
        <w:t xml:space="preserve">рганизован ежедневный контроль за технической эксплуатацией </w:t>
      </w:r>
      <w:r>
        <w:rPr>
          <w:rFonts w:eastAsia="Microsoft Sans Serif"/>
          <w:color w:val="000000"/>
          <w:lang w:bidi="ru-RU"/>
        </w:rPr>
        <w:br/>
      </w:r>
      <w:r w:rsidRPr="00AD2157">
        <w:rPr>
          <w:rFonts w:eastAsia="Microsoft Sans Serif"/>
          <w:color w:val="000000"/>
          <w:lang w:bidi="ru-RU"/>
        </w:rPr>
        <w:t xml:space="preserve">и ремонтом объектов государственного жилищного фонда, за санитарным содержанием земель общего пользования. Проводятся плановые и выборочные проверки </w:t>
      </w:r>
      <w:r>
        <w:rPr>
          <w:rFonts w:eastAsia="Microsoft Sans Serif"/>
          <w:color w:val="000000"/>
          <w:lang w:bidi="ru-RU"/>
        </w:rPr>
        <w:br/>
      </w:r>
      <w:r w:rsidRPr="00AD2157">
        <w:rPr>
          <w:rFonts w:eastAsia="Microsoft Sans Serif"/>
          <w:color w:val="000000"/>
          <w:lang w:bidi="ru-RU"/>
        </w:rPr>
        <w:t xml:space="preserve">с обязательным оформлением актов со сроками устранения выявленных замечаний. </w:t>
      </w:r>
      <w:r>
        <w:rPr>
          <w:rFonts w:eastAsia="Microsoft Sans Serif"/>
          <w:color w:val="000000"/>
          <w:lang w:bidi="ru-RU"/>
        </w:rPr>
        <w:br/>
      </w:r>
      <w:r w:rsidRPr="00AD2157">
        <w:rPr>
          <w:rFonts w:eastAsia="Microsoft Sans Serif"/>
          <w:color w:val="000000"/>
          <w:lang w:bidi="ru-RU"/>
        </w:rPr>
        <w:t xml:space="preserve">В </w:t>
      </w:r>
      <w:r>
        <w:rPr>
          <w:rFonts w:eastAsia="Microsoft Sans Serif"/>
          <w:color w:val="000000"/>
          <w:lang w:bidi="ru-RU"/>
        </w:rPr>
        <w:t>4</w:t>
      </w:r>
      <w:r w:rsidRPr="00AD2157">
        <w:rPr>
          <w:rFonts w:eastAsia="Microsoft Sans Serif"/>
          <w:color w:val="000000"/>
          <w:lang w:bidi="ru-RU"/>
        </w:rPr>
        <w:t xml:space="preserve"> квартале 2020 г</w:t>
      </w:r>
      <w:r>
        <w:rPr>
          <w:rFonts w:eastAsia="Microsoft Sans Serif"/>
          <w:color w:val="000000"/>
          <w:lang w:bidi="ru-RU"/>
        </w:rPr>
        <w:t>ода</w:t>
      </w:r>
      <w:r w:rsidRPr="00AD2157">
        <w:rPr>
          <w:rFonts w:eastAsia="Microsoft Sans Serif"/>
          <w:color w:val="000000"/>
          <w:lang w:bidi="ru-RU"/>
        </w:rPr>
        <w:t xml:space="preserve"> проведено 236 проверок, проверено 1392 домовладения. Осуществляется контроль за санитарно-техническим состоянием и внешним благоустройством домов товариществ собственников жилья и жилищно-строительного кооперативов, проверено - 64 дома, направлено 27 писем в адрес председателей правления собственников жилья на устранение замечаний. Уборку внутридворовых территорий, входящих в расчет площадей земель общего пользования с 1 января 2020 года осуществляют</w:t>
      </w:r>
      <w:r>
        <w:rPr>
          <w:rFonts w:eastAsia="Microsoft Sans Serif"/>
          <w:color w:val="000000"/>
          <w:lang w:bidi="ru-RU"/>
        </w:rPr>
        <w:t xml:space="preserve"> </w:t>
      </w:r>
      <w:r w:rsidRPr="00AD2157">
        <w:rPr>
          <w:color w:val="000000"/>
          <w:lang w:bidi="ru-RU"/>
        </w:rPr>
        <w:t>по Государственным контрактам подрядные организации ООО «Жилкомсервис № 1 Калининского района», ООО «Жилкомсервис №</w:t>
      </w:r>
      <w:r>
        <w:rPr>
          <w:color w:val="000000"/>
          <w:lang w:bidi="ru-RU"/>
        </w:rPr>
        <w:t xml:space="preserve"> </w:t>
      </w:r>
      <w:r w:rsidRPr="00AD2157">
        <w:rPr>
          <w:color w:val="000000"/>
          <w:lang w:bidi="ru-RU"/>
        </w:rPr>
        <w:t>2 Калининского района»,</w:t>
      </w:r>
      <w:r>
        <w:rPr>
          <w:color w:val="000000"/>
          <w:lang w:bidi="ru-RU"/>
        </w:rPr>
        <w:t xml:space="preserve"> </w:t>
      </w:r>
      <w:r w:rsidRPr="00AD2157">
        <w:rPr>
          <w:rFonts w:eastAsia="Microsoft Sans Serif"/>
          <w:color w:val="000000"/>
          <w:lang w:bidi="ru-RU"/>
        </w:rPr>
        <w:t>ООО «Жилкомсервис № 3 Калининского района». Согласно распоряжению Жилищного комитета от 18.07.2016 № 897-р «Об утверждении Технологического регламента выполнения работ по уборке внутриквартальных территорий Санкт-Петербурга, входящих в состав земель общего пользования», два раза в неделю проводятся проверки качества уборки земель общего пользования, составлено 468 актов проверок внутриквартальных территорий.</w:t>
      </w:r>
    </w:p>
    <w:p w:rsidR="00931418" w:rsidRPr="00AD2157" w:rsidRDefault="00931418" w:rsidP="00931418">
      <w:pPr>
        <w:ind w:firstLine="567"/>
        <w:jc w:val="both"/>
      </w:pPr>
      <w:r w:rsidRPr="00AD2157">
        <w:rPr>
          <w:rFonts w:eastAsia="Microsoft Sans Serif"/>
          <w:color w:val="000000"/>
          <w:lang w:bidi="ru-RU"/>
        </w:rPr>
        <w:t xml:space="preserve">Контроль за выполнением работ по текущему ремонту жилищного фонда осуществляется постоянно. Проводится приемка работ по косметическому ремонту лестничных клеток. За </w:t>
      </w:r>
      <w:r>
        <w:rPr>
          <w:rFonts w:eastAsia="Microsoft Sans Serif"/>
          <w:color w:val="000000"/>
          <w:lang w:bidi="ru-RU"/>
        </w:rPr>
        <w:t>4</w:t>
      </w:r>
      <w:r w:rsidRPr="00AD2157">
        <w:rPr>
          <w:rFonts w:eastAsia="Microsoft Sans Serif"/>
          <w:color w:val="000000"/>
          <w:lang w:bidi="ru-RU"/>
        </w:rPr>
        <w:t xml:space="preserve"> квартал 2020 года выполнены и приняты по актам выполненных работ 142 лестничные клетки.</w:t>
      </w:r>
    </w:p>
    <w:p w:rsidR="00850539" w:rsidRDefault="00850539" w:rsidP="00622FCC">
      <w:pPr>
        <w:pStyle w:val="af2"/>
        <w:spacing w:before="0" w:beforeAutospacing="0" w:after="0" w:afterAutospacing="0"/>
        <w:ind w:firstLine="709"/>
        <w:jc w:val="both"/>
      </w:pPr>
      <w:r w:rsidRPr="00413C83">
        <w:t>В теме «Обеспечение граждан жилищем, пользование жилищным фондом, социальные гарантии в жилищной сфере» более половины обращений содержали вопросы: улучшения жилищных условий (</w:t>
      </w:r>
      <w:r w:rsidR="00BC666A">
        <w:t>9</w:t>
      </w:r>
      <w:r w:rsidR="00931418">
        <w:t>0</w:t>
      </w:r>
      <w:r w:rsidRPr="00413C83">
        <w:t>); правил пользования жилыми помещениями (перепланировки, реконструкции, переоборудование, использование не по назначению) (</w:t>
      </w:r>
      <w:r w:rsidR="00931418">
        <w:t>22</w:t>
      </w:r>
      <w:r w:rsidRPr="00413C83">
        <w:t>); постановки на учет в органе местного самоуправления и восстановление в очереди на получение жилья граждан, нуждающихся в жилых помещениях (</w:t>
      </w:r>
      <w:r w:rsidR="00931418">
        <w:t>7</w:t>
      </w:r>
      <w:r w:rsidRPr="00413C83">
        <w:t xml:space="preserve">); </w:t>
      </w:r>
      <w:r>
        <w:t>в</w:t>
      </w:r>
      <w:r w:rsidRPr="00413C83">
        <w:t>ыселени</w:t>
      </w:r>
      <w:r>
        <w:t>я</w:t>
      </w:r>
      <w:r w:rsidRPr="00413C83">
        <w:t xml:space="preserve"> из жилища (</w:t>
      </w:r>
      <w:r w:rsidR="00931418">
        <w:t>1</w:t>
      </w:r>
      <w:r w:rsidRPr="00413C83">
        <w:t xml:space="preserve">); </w:t>
      </w:r>
      <w:r>
        <w:t>р</w:t>
      </w:r>
      <w:r w:rsidRPr="00413C83">
        <w:t>азрешени</w:t>
      </w:r>
      <w:r>
        <w:t>я</w:t>
      </w:r>
      <w:r w:rsidRPr="00413C83">
        <w:t xml:space="preserve"> жилищных споров. Ответственность за нарушение жилищного законодательства (</w:t>
      </w:r>
      <w:r w:rsidR="00931418">
        <w:t>7)</w:t>
      </w:r>
      <w:r>
        <w:t>.</w:t>
      </w:r>
    </w:p>
    <w:p w:rsidR="00447148" w:rsidRPr="00343A09" w:rsidRDefault="00447148" w:rsidP="00447148">
      <w:pPr>
        <w:ind w:firstLine="708"/>
        <w:jc w:val="both"/>
      </w:pPr>
      <w:r w:rsidRPr="00343A09">
        <w:t xml:space="preserve">В Калининском районе 316 квартир участвуют в программе «Расселение коммунальных квартир». </w:t>
      </w:r>
    </w:p>
    <w:p w:rsidR="00447148" w:rsidRPr="00343A09" w:rsidRDefault="00447148" w:rsidP="00447148">
      <w:pPr>
        <w:spacing w:line="276" w:lineRule="auto"/>
        <w:ind w:firstLine="737"/>
        <w:jc w:val="both"/>
      </w:pPr>
      <w:r>
        <w:t xml:space="preserve">В 4 квартале 2020 года </w:t>
      </w:r>
      <w:r w:rsidRPr="00343A09">
        <w:t xml:space="preserve">в Калининском районе включены 10 квартир в Перечень                  по программе «Расселение коммунальных квартир». Социальные выплаты в рамках данной программы получили 13 семей 27 человек на сумму 18033829,20 рублей. </w:t>
      </w:r>
    </w:p>
    <w:p w:rsidR="00447148" w:rsidRPr="00343A09" w:rsidRDefault="00447148" w:rsidP="00447148">
      <w:pPr>
        <w:ind w:firstLine="708"/>
        <w:jc w:val="both"/>
      </w:pPr>
      <w:r w:rsidRPr="00343A09">
        <w:t>В рамках реализации целевой программы «</w:t>
      </w:r>
      <w:hyperlink r:id="rId20" w:history="1">
        <w:r w:rsidRPr="00343A09">
          <w:rPr>
            <w:rStyle w:val="af7"/>
          </w:rPr>
          <w:t>Жилье</w:t>
        </w:r>
      </w:hyperlink>
      <w:r w:rsidRPr="00343A09">
        <w:t xml:space="preserve"> работникам бюджетной сферы» квартиру получили 3 семьи.</w:t>
      </w:r>
    </w:p>
    <w:p w:rsidR="00447148" w:rsidRPr="00343A09" w:rsidRDefault="00447148" w:rsidP="00447148">
      <w:pPr>
        <w:ind w:firstLine="709"/>
        <w:jc w:val="both"/>
      </w:pPr>
      <w:r w:rsidRPr="00343A09">
        <w:lastRenderedPageBreak/>
        <w:t xml:space="preserve">В соответствии с постановлением Правительства Санкт-Петербурга от 28.03.2006      </w:t>
      </w:r>
      <w:r w:rsidRPr="00343A09">
        <w:br/>
        <w:t>№ 312 безвозмездные субсидии получили 9 семей 13 человек на сумму                            13549377,60 руб. из городского и федерального бюджетов.</w:t>
      </w:r>
    </w:p>
    <w:p w:rsidR="00447148" w:rsidRPr="00343A09" w:rsidRDefault="00447148" w:rsidP="00447148">
      <w:pPr>
        <w:tabs>
          <w:tab w:val="left" w:pos="709"/>
        </w:tabs>
        <w:ind w:firstLine="709"/>
        <w:jc w:val="both"/>
      </w:pPr>
      <w:r w:rsidRPr="00343A09">
        <w:t xml:space="preserve">В соответствии </w:t>
      </w:r>
      <w:r w:rsidRPr="00343A09">
        <w:rPr>
          <w:bCs/>
        </w:rPr>
        <w:t>с</w:t>
      </w:r>
      <w:r w:rsidRPr="00343A09">
        <w:t xml:space="preserve"> постановлением Правительства Санкт-Петербурга от 24.04.2018 № 328 безвозмездные субсидии получили 5 многодетные семьи 20 человек на сумму 20024929,29 руб.</w:t>
      </w:r>
    </w:p>
    <w:p w:rsidR="00447148" w:rsidRPr="00343A09" w:rsidRDefault="00447148" w:rsidP="00447148">
      <w:pPr>
        <w:ind w:firstLine="709"/>
        <w:jc w:val="both"/>
      </w:pPr>
      <w:r w:rsidRPr="00343A09">
        <w:t>В рамках реализации целевой программы «Развитие долгосрочного жилищного кредитования в Санкт-Петербурге» социальные выплаты получили 3 семьи очередников Калининского района на сумму 1975949 руб.</w:t>
      </w:r>
    </w:p>
    <w:p w:rsidR="00447148" w:rsidRPr="00343A09" w:rsidRDefault="00447148" w:rsidP="00447148">
      <w:pPr>
        <w:ind w:firstLine="709"/>
        <w:jc w:val="both"/>
        <w:rPr>
          <w:b/>
        </w:rPr>
      </w:pPr>
      <w:r w:rsidRPr="00343A09">
        <w:t>В рамках реализации целевой программы «Молодежи - доступное жилье» социальные выплаты получили 2 семья на сумму 4516458 руб.</w:t>
      </w:r>
    </w:p>
    <w:p w:rsidR="0027703D" w:rsidRPr="0069326C" w:rsidRDefault="0027703D" w:rsidP="0027703D">
      <w:pPr>
        <w:spacing w:line="276" w:lineRule="auto"/>
        <w:ind w:firstLine="709"/>
        <w:jc w:val="both"/>
      </w:pPr>
      <w:r w:rsidRPr="000E6AF2">
        <w:t>Во четвертом квартале предоставлено 20 жилых помещений специализированного жилищного фонда гражданам, признанным нуждающимися</w:t>
      </w:r>
      <w:r w:rsidRPr="00D2116D">
        <w:t xml:space="preserve"> в специальной социальной </w:t>
      </w:r>
      <w:r w:rsidRPr="0069326C">
        <w:t xml:space="preserve">защите (всего – </w:t>
      </w:r>
      <w:r>
        <w:t>4</w:t>
      </w:r>
      <w:r w:rsidRPr="0069326C">
        <w:t xml:space="preserve">8). </w:t>
      </w:r>
    </w:p>
    <w:p w:rsidR="0027703D" w:rsidRPr="0069326C" w:rsidRDefault="0027703D" w:rsidP="0027703D">
      <w:pPr>
        <w:spacing w:line="276" w:lineRule="auto"/>
        <w:ind w:firstLine="709"/>
        <w:jc w:val="both"/>
      </w:pPr>
      <w:r w:rsidRPr="0069326C">
        <w:t xml:space="preserve">В соответствии с квартальным планом во </w:t>
      </w:r>
      <w:r>
        <w:t>четверто</w:t>
      </w:r>
      <w:r w:rsidRPr="0069326C">
        <w:t>м квартале 2020 года жилищным отделом проведено 1</w:t>
      </w:r>
      <w:r>
        <w:t>1</w:t>
      </w:r>
      <w:r w:rsidRPr="0069326C">
        <w:t xml:space="preserve"> заседаний районной жилищной комиссии (всего </w:t>
      </w:r>
      <w:r>
        <w:t>47</w:t>
      </w:r>
      <w:r w:rsidRPr="0069326C">
        <w:t xml:space="preserve">), на которых рассмотрено </w:t>
      </w:r>
      <w:r>
        <w:t>392</w:t>
      </w:r>
      <w:r w:rsidRPr="0069326C">
        <w:t xml:space="preserve"> заявлени</w:t>
      </w:r>
      <w:r>
        <w:t>й</w:t>
      </w:r>
      <w:r w:rsidRPr="0069326C">
        <w:t xml:space="preserve"> граждан (всего </w:t>
      </w:r>
      <w:r>
        <w:t>1581</w:t>
      </w:r>
      <w:r w:rsidRPr="0069326C">
        <w:t>). Основные вопросы, которые рассматривались на заседаниях комиссии:</w:t>
      </w:r>
    </w:p>
    <w:p w:rsidR="0027703D" w:rsidRPr="0069326C" w:rsidRDefault="0027703D" w:rsidP="0027703D">
      <w:pPr>
        <w:numPr>
          <w:ilvl w:val="0"/>
          <w:numId w:val="35"/>
        </w:numPr>
        <w:spacing w:line="276" w:lineRule="auto"/>
        <w:jc w:val="both"/>
      </w:pPr>
      <w:r w:rsidRPr="0069326C">
        <w:t>Исключение занимаемой жилой площади из числа служебной.</w:t>
      </w:r>
    </w:p>
    <w:p w:rsidR="0027703D" w:rsidRPr="0069326C" w:rsidRDefault="0027703D" w:rsidP="0027703D">
      <w:pPr>
        <w:numPr>
          <w:ilvl w:val="0"/>
          <w:numId w:val="35"/>
        </w:numPr>
        <w:spacing w:line="276" w:lineRule="auto"/>
        <w:jc w:val="both"/>
      </w:pPr>
      <w:r w:rsidRPr="0069326C">
        <w:t>Предоставление освободившихся жилых помещений в коммунальных квартирах.</w:t>
      </w:r>
    </w:p>
    <w:p w:rsidR="0027703D" w:rsidRPr="0069326C" w:rsidRDefault="0027703D" w:rsidP="0027703D">
      <w:pPr>
        <w:numPr>
          <w:ilvl w:val="0"/>
          <w:numId w:val="35"/>
        </w:numPr>
        <w:spacing w:line="276" w:lineRule="auto"/>
        <w:jc w:val="both"/>
      </w:pPr>
      <w:r w:rsidRPr="0069326C">
        <w:t>Оформление необходимых документов в связи с изменением правового статуса общежитий.</w:t>
      </w:r>
    </w:p>
    <w:p w:rsidR="0027703D" w:rsidRPr="0069326C" w:rsidRDefault="0027703D" w:rsidP="0027703D">
      <w:pPr>
        <w:numPr>
          <w:ilvl w:val="0"/>
          <w:numId w:val="35"/>
        </w:numPr>
        <w:spacing w:line="276" w:lineRule="auto"/>
        <w:jc w:val="both"/>
      </w:pPr>
      <w:r w:rsidRPr="0069326C">
        <w:t>Предоставление жилой площади.</w:t>
      </w:r>
    </w:p>
    <w:p w:rsidR="0027703D" w:rsidRPr="0069326C" w:rsidRDefault="0027703D" w:rsidP="0027703D">
      <w:pPr>
        <w:numPr>
          <w:ilvl w:val="0"/>
          <w:numId w:val="35"/>
        </w:numPr>
        <w:spacing w:line="276" w:lineRule="auto"/>
        <w:jc w:val="both"/>
      </w:pPr>
      <w:r w:rsidRPr="0069326C">
        <w:t xml:space="preserve">Прием и снятие с учета по улучшению жилищных условий граждан. </w:t>
      </w:r>
    </w:p>
    <w:p w:rsidR="0027703D" w:rsidRPr="0069326C" w:rsidRDefault="0027703D" w:rsidP="0027703D">
      <w:pPr>
        <w:spacing w:line="276" w:lineRule="auto"/>
        <w:ind w:firstLine="709"/>
        <w:jc w:val="both"/>
      </w:pPr>
      <w:r w:rsidRPr="002A1110">
        <w:t>В четвертом квартале 2020 года обратились 958 граждан:  устно 398, письменно 560.</w:t>
      </w:r>
    </w:p>
    <w:p w:rsidR="0027703D" w:rsidRPr="00AF63B2" w:rsidRDefault="0027703D" w:rsidP="0027703D">
      <w:pPr>
        <w:spacing w:line="276" w:lineRule="auto"/>
        <w:ind w:firstLine="709"/>
        <w:jc w:val="both"/>
      </w:pPr>
      <w:r w:rsidRPr="0069326C">
        <w:t>Основные вопросы, поставленные в обращениях: признание граждан в качестве нуждающихся в жилых помещениях, участие в целевых программах Санкт-Петербурга, предоставление освободившихся комнат в коммунальных квартирах, предоставление жилой площади.</w:t>
      </w:r>
      <w:r w:rsidRPr="00AF63B2">
        <w:t xml:space="preserve">  </w:t>
      </w:r>
    </w:p>
    <w:p w:rsidR="00622FCC" w:rsidRPr="000F7C78" w:rsidRDefault="00622FCC" w:rsidP="003554F6">
      <w:pPr>
        <w:ind w:firstLine="708"/>
        <w:jc w:val="both"/>
      </w:pP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Экономика</w:t>
      </w:r>
    </w:p>
    <w:p w:rsidR="00B856FA" w:rsidRDefault="00B856FA" w:rsidP="00B856FA">
      <w:pPr>
        <w:pStyle w:val="af2"/>
        <w:spacing w:before="0" w:beforeAutospacing="0" w:after="0" w:afterAutospacing="0"/>
        <w:ind w:firstLine="709"/>
        <w:jc w:val="both"/>
      </w:pPr>
      <w:r>
        <w:t>В разделе «Экономика» основная доля обращений (</w:t>
      </w:r>
      <w:r w:rsidR="0027703D">
        <w:t>90</w:t>
      </w:r>
      <w:r>
        <w:t>,</w:t>
      </w:r>
      <w:r w:rsidR="0027703D">
        <w:t>2</w:t>
      </w:r>
      <w:r>
        <w:t xml:space="preserve">%) регистрировалась </w:t>
      </w:r>
      <w:r w:rsidR="0027703D">
        <w:br/>
      </w:r>
      <w:r>
        <w:t>в тематике «Хозяйственная деятельность», более половины из которых содержали вопросы: благоустройства города (</w:t>
      </w:r>
      <w:r w:rsidR="0027703D">
        <w:t>106</w:t>
      </w:r>
      <w:r>
        <w:t xml:space="preserve"> обращени</w:t>
      </w:r>
      <w:r w:rsidR="0027703D">
        <w:t>й</w:t>
      </w:r>
      <w:r>
        <w:t xml:space="preserve">); </w:t>
      </w:r>
      <w:r w:rsidRPr="00507866">
        <w:t>у</w:t>
      </w:r>
      <w:r w:rsidRPr="00507866">
        <w:rPr>
          <w:color w:val="000000"/>
        </w:rPr>
        <w:t>борки мусора и посторонних предметов</w:t>
      </w:r>
      <w:r>
        <w:t xml:space="preserve"> (</w:t>
      </w:r>
      <w:r w:rsidR="0027703D">
        <w:t>59</w:t>
      </w:r>
      <w:r>
        <w:t xml:space="preserve"> обращений); о</w:t>
      </w:r>
      <w:r w:rsidRPr="008768EF">
        <w:rPr>
          <w:color w:val="000000"/>
        </w:rPr>
        <w:t>рганизаци</w:t>
      </w:r>
      <w:r>
        <w:rPr>
          <w:color w:val="000000"/>
        </w:rPr>
        <w:t>и</w:t>
      </w:r>
      <w:r w:rsidRPr="008768EF">
        <w:rPr>
          <w:color w:val="000000"/>
        </w:rPr>
        <w:t xml:space="preserve"> условий и мест для детского отдыха и досуга (детских и спортивных площадок)</w:t>
      </w:r>
      <w:r>
        <w:rPr>
          <w:color w:val="000000"/>
        </w:rPr>
        <w:t xml:space="preserve"> (1</w:t>
      </w:r>
      <w:r w:rsidR="0027703D">
        <w:rPr>
          <w:color w:val="000000"/>
        </w:rPr>
        <w:t>4</w:t>
      </w:r>
      <w:r>
        <w:rPr>
          <w:color w:val="000000"/>
        </w:rPr>
        <w:t xml:space="preserve"> обращений); </w:t>
      </w:r>
      <w:r>
        <w:t>озеленения (</w:t>
      </w:r>
      <w:r w:rsidR="0027703D">
        <w:t>13</w:t>
      </w:r>
      <w:r>
        <w:t xml:space="preserve"> обращений); реклама (</w:t>
      </w:r>
      <w:r w:rsidRPr="00994401">
        <w:rPr>
          <w:color w:val="000000"/>
          <w:szCs w:val="22"/>
        </w:rPr>
        <w:t>за исключением рекламы в СМИ</w:t>
      </w:r>
      <w:r>
        <w:t>) (1</w:t>
      </w:r>
      <w:r w:rsidR="0027703D">
        <w:t>4</w:t>
      </w:r>
      <w:r>
        <w:t xml:space="preserve"> обращений).</w:t>
      </w:r>
    </w:p>
    <w:p w:rsidR="00B856FA" w:rsidRPr="001451F2" w:rsidRDefault="00B856FA" w:rsidP="00B856FA">
      <w:pPr>
        <w:pStyle w:val="af2"/>
        <w:spacing w:before="0" w:beforeAutospacing="0" w:after="0" w:afterAutospacing="0"/>
        <w:ind w:firstLine="709"/>
        <w:jc w:val="both"/>
        <w:rPr>
          <w:sz w:val="40"/>
        </w:rPr>
      </w:pPr>
      <w:r>
        <w:t xml:space="preserve">Также произошло снижение количества обращений на 107 по сравнению с 3 кварталом 2019 года по подтематике «Градостроительство и архитектура» в основном за счет большого количества обращений, поступивших </w:t>
      </w:r>
      <w:r w:rsidRPr="001451F2">
        <w:rPr>
          <w:szCs w:val="17"/>
        </w:rPr>
        <w:t>по вопрос</w:t>
      </w:r>
      <w:r>
        <w:rPr>
          <w:szCs w:val="17"/>
        </w:rPr>
        <w:t>ам</w:t>
      </w:r>
      <w:r w:rsidRPr="001451F2">
        <w:rPr>
          <w:szCs w:val="17"/>
        </w:rPr>
        <w:t xml:space="preserve"> благоустройства территории квартала 24-27 Полюстрово</w:t>
      </w:r>
      <w:r>
        <w:rPr>
          <w:szCs w:val="17"/>
        </w:rPr>
        <w:t>.</w:t>
      </w:r>
    </w:p>
    <w:p w:rsidR="00B856FA" w:rsidRDefault="00B856FA" w:rsidP="00B856FA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5"/>
        <w:gridCol w:w="920"/>
        <w:gridCol w:w="1083"/>
        <w:gridCol w:w="1028"/>
        <w:gridCol w:w="1022"/>
      </w:tblGrid>
      <w:tr w:rsidR="00B856FA" w:rsidRPr="00BE77BF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DD7218" w:rsidRDefault="00B856FA" w:rsidP="007C2B34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Default="00B856FA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DD7218" w:rsidRDefault="00B856FA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DD7218" w:rsidRDefault="00B856FA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1022" w:type="dxa"/>
          </w:tcPr>
          <w:p w:rsidR="00B856FA" w:rsidRPr="00DD7218" w:rsidRDefault="00B856FA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</w:tr>
      <w:tr w:rsidR="00B856FA" w:rsidRPr="00BE77BF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BE77BF" w:rsidRDefault="00B856FA" w:rsidP="007C2B34">
            <w:pPr>
              <w:jc w:val="center"/>
            </w:pPr>
            <w:r w:rsidRPr="00BE77BF">
              <w:rPr>
                <w:rFonts w:eastAsia="Segoe UI"/>
                <w:b/>
              </w:rPr>
              <w:t>Экономика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1C3858" w:rsidRDefault="0027703D" w:rsidP="0027703D">
            <w:pPr>
              <w:jc w:val="center"/>
              <w:rPr>
                <w:b/>
              </w:rPr>
            </w:pPr>
            <w:r>
              <w:rPr>
                <w:b/>
              </w:rPr>
              <w:t>582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1C3858" w:rsidRDefault="00B856FA" w:rsidP="007C2B34">
            <w:pPr>
              <w:jc w:val="center"/>
              <w:rPr>
                <w:b/>
              </w:rPr>
            </w:pPr>
            <w:r w:rsidRPr="001C3858">
              <w:rPr>
                <w:b/>
              </w:rPr>
              <w:t>100%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1C3858" w:rsidRDefault="0027703D" w:rsidP="007C2B34">
            <w:pPr>
              <w:jc w:val="center"/>
              <w:rPr>
                <w:b/>
              </w:rPr>
            </w:pPr>
            <w:r>
              <w:rPr>
                <w:b/>
              </w:rPr>
              <w:t>619</w:t>
            </w:r>
          </w:p>
        </w:tc>
        <w:tc>
          <w:tcPr>
            <w:tcW w:w="1022" w:type="dxa"/>
          </w:tcPr>
          <w:p w:rsidR="00B856FA" w:rsidRPr="001C3858" w:rsidRDefault="00B856FA" w:rsidP="007C2B34">
            <w:pPr>
              <w:jc w:val="center"/>
              <w:rPr>
                <w:b/>
              </w:rPr>
            </w:pPr>
            <w:r w:rsidRPr="001C3858">
              <w:rPr>
                <w:b/>
              </w:rPr>
              <w:t>100%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r w:rsidRPr="002B1AC0">
              <w:rPr>
                <w:rFonts w:eastAsia="Segoe UI"/>
              </w:rPr>
              <w:t>Финансы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27703D" w:rsidP="0027703D">
            <w:pPr>
              <w:jc w:val="center"/>
            </w:pPr>
            <w:r>
              <w:t>5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A41DD" w:rsidP="00BA41DD">
            <w:pPr>
              <w:jc w:val="center"/>
            </w:pPr>
            <w:r>
              <w:t>0</w:t>
            </w:r>
            <w:r w:rsidR="00B856FA" w:rsidRPr="002B1AC0">
              <w:t>,</w:t>
            </w:r>
            <w:r>
              <w:t>9</w:t>
            </w:r>
            <w:r w:rsidR="00B856FA" w:rsidRPr="002B1AC0">
              <w:t>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27703D">
            <w:pPr>
              <w:jc w:val="center"/>
            </w:pPr>
            <w:r w:rsidRPr="002B1AC0">
              <w:t>1</w:t>
            </w:r>
            <w:r w:rsidR="0027703D">
              <w:t>6</w:t>
            </w:r>
          </w:p>
        </w:tc>
        <w:tc>
          <w:tcPr>
            <w:tcW w:w="1022" w:type="dxa"/>
          </w:tcPr>
          <w:p w:rsidR="00B856FA" w:rsidRPr="002B1AC0" w:rsidRDefault="00B856FA" w:rsidP="0027703D">
            <w:pPr>
              <w:jc w:val="center"/>
            </w:pPr>
            <w:r w:rsidRPr="002B1AC0">
              <w:t>2,</w:t>
            </w:r>
            <w:r w:rsidR="0027703D">
              <w:t>6</w:t>
            </w:r>
            <w:r w:rsidRPr="002B1AC0">
              <w:t>%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r w:rsidRPr="002B1AC0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27703D" w:rsidP="0027703D">
            <w:pPr>
              <w:jc w:val="center"/>
            </w:pPr>
            <w:r>
              <w:t>525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A41DD" w:rsidP="00BA41DD">
            <w:pPr>
              <w:jc w:val="center"/>
            </w:pPr>
            <w:r>
              <w:t>90</w:t>
            </w:r>
            <w:r w:rsidR="00B856FA" w:rsidRPr="002B1AC0">
              <w:t>,</w:t>
            </w:r>
            <w:r>
              <w:t>2</w:t>
            </w:r>
            <w:r w:rsidR="00B856FA" w:rsidRPr="002B1AC0">
              <w:t>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27703D">
            <w:pPr>
              <w:jc w:val="center"/>
            </w:pPr>
            <w:r w:rsidRPr="002B1AC0">
              <w:t>50</w:t>
            </w:r>
            <w:r w:rsidR="0027703D">
              <w:t>7</w:t>
            </w:r>
          </w:p>
        </w:tc>
        <w:tc>
          <w:tcPr>
            <w:tcW w:w="1022" w:type="dxa"/>
          </w:tcPr>
          <w:p w:rsidR="00B856FA" w:rsidRPr="002B1AC0" w:rsidRDefault="00B856FA" w:rsidP="0027703D">
            <w:pPr>
              <w:jc w:val="center"/>
            </w:pPr>
            <w:r w:rsidRPr="002B1AC0">
              <w:t>8</w:t>
            </w:r>
            <w:r w:rsidR="0027703D">
              <w:t>1</w:t>
            </w:r>
            <w:r w:rsidRPr="002B1AC0">
              <w:t>,</w:t>
            </w:r>
            <w:r w:rsidR="0027703D">
              <w:t>9</w:t>
            </w:r>
            <w:r w:rsidRPr="002B1AC0">
              <w:t>%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Промышленность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27703D" w:rsidP="0027703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 w:rsidRPr="002B1AC0">
              <w:rPr>
                <w:i/>
              </w:rPr>
              <w:t>2</w:t>
            </w:r>
          </w:p>
        </w:tc>
        <w:tc>
          <w:tcPr>
            <w:tcW w:w="1022" w:type="dxa"/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27703D" w:rsidP="0027703D">
            <w:pPr>
              <w:jc w:val="center"/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 w:rsidRPr="002B1AC0">
              <w:rPr>
                <w:i/>
              </w:rPr>
              <w:t>30</w:t>
            </w:r>
          </w:p>
        </w:tc>
        <w:tc>
          <w:tcPr>
            <w:tcW w:w="1022" w:type="dxa"/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920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27703D" w:rsidP="007C2B34">
            <w:pPr>
              <w:jc w:val="center"/>
              <w:rPr>
                <w:i/>
              </w:rPr>
            </w:pPr>
            <w:r>
              <w:rPr>
                <w:i/>
              </w:rPr>
              <w:t>310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856FA" w:rsidRPr="002B1AC0" w:rsidRDefault="00B856FA" w:rsidP="0027703D">
            <w:pPr>
              <w:jc w:val="center"/>
              <w:rPr>
                <w:i/>
              </w:rPr>
            </w:pPr>
            <w:r w:rsidRPr="002B1AC0">
              <w:rPr>
                <w:i/>
              </w:rPr>
              <w:t>3</w:t>
            </w:r>
            <w:r w:rsidR="0027703D">
              <w:rPr>
                <w:i/>
              </w:rPr>
              <w:t>62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jc w:val="center"/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2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jc w:val="center"/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27703D" w:rsidP="0027703D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3</w:t>
            </w:r>
          </w:p>
        </w:tc>
        <w:tc>
          <w:tcPr>
            <w:tcW w:w="1022" w:type="dxa"/>
          </w:tcPr>
          <w:p w:rsidR="00B856FA" w:rsidRPr="002B1AC0" w:rsidRDefault="00B856FA" w:rsidP="007C2B34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-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lastRenderedPageBreak/>
              <w:t>Транспорт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27703D" w:rsidP="0027703D">
            <w:pPr>
              <w:jc w:val="center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27703D">
            <w:pPr>
              <w:jc w:val="center"/>
              <w:rPr>
                <w:i/>
              </w:rPr>
            </w:pPr>
            <w:r w:rsidRPr="002B1AC0">
              <w:rPr>
                <w:i/>
              </w:rPr>
              <w:t>7</w:t>
            </w:r>
            <w:r w:rsidR="0027703D">
              <w:rPr>
                <w:i/>
              </w:rPr>
              <w:t>0</w:t>
            </w:r>
          </w:p>
        </w:tc>
        <w:tc>
          <w:tcPr>
            <w:tcW w:w="1022" w:type="dxa"/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Связь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27703D" w:rsidP="0027703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7C2B34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0</w:t>
            </w:r>
          </w:p>
        </w:tc>
        <w:tc>
          <w:tcPr>
            <w:tcW w:w="1022" w:type="dxa"/>
          </w:tcPr>
          <w:p w:rsidR="00B856FA" w:rsidRPr="002B1AC0" w:rsidRDefault="00B856FA" w:rsidP="007C2B34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-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Торговля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A41DD" w:rsidP="00BA41DD">
            <w:pPr>
              <w:jc w:val="center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27703D">
            <w:pPr>
              <w:jc w:val="center"/>
              <w:rPr>
                <w:i/>
              </w:rPr>
            </w:pPr>
            <w:r w:rsidRPr="002B1AC0">
              <w:rPr>
                <w:i/>
              </w:rPr>
              <w:t>4</w:t>
            </w:r>
            <w:r w:rsidR="0027703D">
              <w:rPr>
                <w:i/>
              </w:rPr>
              <w:t>7</w:t>
            </w:r>
          </w:p>
        </w:tc>
        <w:tc>
          <w:tcPr>
            <w:tcW w:w="1022" w:type="dxa"/>
          </w:tcPr>
          <w:p w:rsidR="00B856FA" w:rsidRPr="002B1AC0" w:rsidRDefault="00B856FA" w:rsidP="007C2B34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A41DD" w:rsidP="00BA41DD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6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pPr>
              <w:jc w:val="center"/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27703D" w:rsidP="0027703D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3</w:t>
            </w:r>
          </w:p>
        </w:tc>
        <w:tc>
          <w:tcPr>
            <w:tcW w:w="1022" w:type="dxa"/>
          </w:tcPr>
          <w:p w:rsidR="00B856FA" w:rsidRPr="002B1AC0" w:rsidRDefault="00B856FA" w:rsidP="007C2B34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-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r w:rsidRPr="002B1AC0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A41DD" w:rsidP="007C2B34">
            <w:pPr>
              <w:jc w:val="center"/>
            </w:pPr>
            <w:r>
              <w:t>19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A41DD" w:rsidP="00BA41DD">
            <w:pPr>
              <w:jc w:val="center"/>
            </w:pPr>
            <w:r>
              <w:t>3</w:t>
            </w:r>
            <w:r w:rsidR="00B856FA" w:rsidRPr="002B1AC0">
              <w:t>,6%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27703D" w:rsidP="0027703D">
            <w:pPr>
              <w:jc w:val="center"/>
            </w:pPr>
            <w:r>
              <w:t>70</w:t>
            </w:r>
          </w:p>
        </w:tc>
        <w:tc>
          <w:tcPr>
            <w:tcW w:w="1022" w:type="dxa"/>
          </w:tcPr>
          <w:p w:rsidR="00B856FA" w:rsidRPr="002B1AC0" w:rsidRDefault="00B856FA" w:rsidP="007C2B34">
            <w:pPr>
              <w:jc w:val="center"/>
            </w:pPr>
            <w:r w:rsidRPr="002B1AC0">
              <w:t>2,8%</w:t>
            </w:r>
          </w:p>
        </w:tc>
      </w:tr>
      <w:tr w:rsidR="00B856FA" w:rsidRPr="002B1AC0" w:rsidTr="007C2B34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7C2B34">
            <w:r w:rsidRPr="002B1AC0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BA41DD">
            <w:pPr>
              <w:jc w:val="center"/>
            </w:pPr>
            <w:r w:rsidRPr="002B1AC0">
              <w:t>2</w:t>
            </w:r>
            <w:r w:rsidR="00BA41DD">
              <w:t>2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A41DD" w:rsidP="00BA41DD">
            <w:pPr>
              <w:jc w:val="center"/>
            </w:pPr>
            <w:r>
              <w:t>4</w:t>
            </w:r>
            <w:r w:rsidR="00B856FA" w:rsidRPr="002B1AC0">
              <w:t>,</w:t>
            </w:r>
            <w:r>
              <w:t>2</w:t>
            </w:r>
            <w:r w:rsidR="00B856FA" w:rsidRPr="002B1AC0">
              <w:t>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27703D">
            <w:pPr>
              <w:jc w:val="center"/>
            </w:pPr>
            <w:r w:rsidRPr="002B1AC0">
              <w:t>2</w:t>
            </w:r>
            <w:r w:rsidR="0027703D">
              <w:t>6</w:t>
            </w:r>
          </w:p>
        </w:tc>
        <w:tc>
          <w:tcPr>
            <w:tcW w:w="1022" w:type="dxa"/>
          </w:tcPr>
          <w:p w:rsidR="00B856FA" w:rsidRPr="002B1AC0" w:rsidRDefault="00B856FA" w:rsidP="007C2B34">
            <w:pPr>
              <w:jc w:val="center"/>
            </w:pPr>
            <w:r w:rsidRPr="002B1AC0">
              <w:t>5%</w:t>
            </w:r>
          </w:p>
        </w:tc>
      </w:tr>
    </w:tbl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p w:rsidR="00BA41DD" w:rsidRPr="00A55640" w:rsidRDefault="00BA41DD" w:rsidP="00BA41DD">
      <w:pPr>
        <w:spacing w:line="264" w:lineRule="auto"/>
        <w:ind w:firstLine="709"/>
        <w:jc w:val="both"/>
      </w:pPr>
      <w:r w:rsidRPr="00A55640">
        <w:t xml:space="preserve">Одна из основных задач </w:t>
      </w:r>
      <w:r>
        <w:t xml:space="preserve">отдела строительства и землепользования состоит, прежде всего, </w:t>
      </w:r>
      <w:r w:rsidRPr="00A55640">
        <w:t>в обеспечении комплексного подхода к застройке кварталов, предусматривающей размещение объектов социальной и инженерной инфраструктуры, а также в координации работы профильных Комитетов Санкт-Петербурга и служб в процессе разработки и реализации инвестиционных проектов.</w:t>
      </w:r>
    </w:p>
    <w:p w:rsidR="00BA41DD" w:rsidRPr="00A55640" w:rsidRDefault="00BA41DD" w:rsidP="00BA41DD">
      <w:pPr>
        <w:spacing w:line="264" w:lineRule="auto"/>
        <w:ind w:firstLine="709"/>
        <w:jc w:val="both"/>
      </w:pPr>
      <w:r>
        <w:t>О</w:t>
      </w:r>
      <w:r w:rsidRPr="00A55640">
        <w:t>сновными направлениями реализации инвестиционных проектов на территории района являются:</w:t>
      </w:r>
    </w:p>
    <w:p w:rsidR="00BA41DD" w:rsidRPr="00A55640" w:rsidRDefault="00BA41DD" w:rsidP="00BA41DD">
      <w:pPr>
        <w:pStyle w:val="af3"/>
        <w:numPr>
          <w:ilvl w:val="0"/>
          <w:numId w:val="39"/>
        </w:numPr>
        <w:spacing w:line="264" w:lineRule="auto"/>
        <w:ind w:left="0" w:firstLine="0"/>
        <w:jc w:val="both"/>
      </w:pPr>
      <w:r w:rsidRPr="00A55640">
        <w:t>освоение незастроенных и депрессивных территорий;</w:t>
      </w:r>
    </w:p>
    <w:p w:rsidR="00BA41DD" w:rsidRPr="00A55640" w:rsidRDefault="00BA41DD" w:rsidP="00BA41DD">
      <w:pPr>
        <w:pStyle w:val="af3"/>
        <w:numPr>
          <w:ilvl w:val="0"/>
          <w:numId w:val="39"/>
        </w:numPr>
        <w:spacing w:line="264" w:lineRule="auto"/>
        <w:ind w:left="0" w:firstLine="0"/>
        <w:jc w:val="both"/>
      </w:pPr>
      <w:r w:rsidRPr="00A55640">
        <w:t>реализация инвестиционных проектов в области</w:t>
      </w:r>
      <w:r>
        <w:t xml:space="preserve"> культуры, спорта, образования, </w:t>
      </w:r>
      <w:r w:rsidRPr="00A55640">
        <w:t>здравоохранения, транспортной и инженерной инфраструктуры;</w:t>
      </w:r>
    </w:p>
    <w:p w:rsidR="00BA41DD" w:rsidRDefault="00BA41DD" w:rsidP="00BA41DD">
      <w:pPr>
        <w:pStyle w:val="af3"/>
        <w:numPr>
          <w:ilvl w:val="0"/>
          <w:numId w:val="39"/>
        </w:numPr>
        <w:spacing w:line="264" w:lineRule="auto"/>
        <w:ind w:left="0" w:firstLine="0"/>
        <w:jc w:val="both"/>
      </w:pPr>
      <w:r w:rsidRPr="00A55640">
        <w:t>привлечение инвесторов, подготовка доку</w:t>
      </w:r>
      <w:r>
        <w:t xml:space="preserve">ментации для торгов по объектам </w:t>
      </w:r>
      <w:r w:rsidRPr="00A55640">
        <w:t>незаконченного строительства и на</w:t>
      </w:r>
      <w:r>
        <w:t>ходящихся в аварийном состоянии;</w:t>
      </w:r>
    </w:p>
    <w:p w:rsidR="00BA41DD" w:rsidRDefault="00BA41DD" w:rsidP="00BA41DD">
      <w:pPr>
        <w:pStyle w:val="af3"/>
        <w:numPr>
          <w:ilvl w:val="0"/>
          <w:numId w:val="39"/>
        </w:numPr>
        <w:spacing w:line="264" w:lineRule="auto"/>
        <w:ind w:left="0" w:firstLine="0"/>
        <w:jc w:val="both"/>
      </w:pPr>
      <w:r w:rsidRPr="00A55640">
        <w:t>программа развития заст</w:t>
      </w:r>
      <w:r>
        <w:t>роенных  территорий (реновация).</w:t>
      </w:r>
    </w:p>
    <w:p w:rsidR="00BA41DD" w:rsidRDefault="00BA41DD" w:rsidP="00BA41DD">
      <w:pPr>
        <w:spacing w:line="264" w:lineRule="auto"/>
        <w:ind w:firstLine="709"/>
        <w:jc w:val="both"/>
      </w:pPr>
      <w:r>
        <w:t xml:space="preserve">Во исполнение </w:t>
      </w:r>
      <w:r w:rsidRPr="00E55B15">
        <w:t>Указ</w:t>
      </w:r>
      <w:r>
        <w:t>а</w:t>
      </w:r>
      <w:r w:rsidRPr="00E55B15">
        <w:t xml:space="preserve"> Президента РФ от 07.05.2012 </w:t>
      </w:r>
      <w:r>
        <w:t>№</w:t>
      </w:r>
      <w:r w:rsidRPr="00E55B15">
        <w:t xml:space="preserve"> 600</w:t>
      </w:r>
      <w:r>
        <w:t xml:space="preserve"> «</w:t>
      </w:r>
      <w:r w:rsidRPr="00E55B15"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>
        <w:t>», с</w:t>
      </w:r>
      <w:r w:rsidRPr="008D37F0">
        <w:t xml:space="preserve"> целью обеспечения выполнения сроков ввода </w:t>
      </w:r>
      <w:r>
        <w:t xml:space="preserve"> </w:t>
      </w:r>
      <w:r w:rsidRPr="008D37F0">
        <w:t>в эксплуатацию объектов нового строительства</w:t>
      </w:r>
      <w:r>
        <w:t>,</w:t>
      </w:r>
      <w:r w:rsidRPr="008D37F0">
        <w:t xml:space="preserve"> в течение </w:t>
      </w:r>
      <w:r w:rsidRPr="00270414">
        <w:t>4</w:t>
      </w:r>
      <w:r>
        <w:t>-го квартала 2020 года</w:t>
      </w:r>
      <w:r w:rsidRPr="008D37F0">
        <w:t xml:space="preserve"> осуществлялся контроль </w:t>
      </w:r>
      <w:r>
        <w:br/>
      </w:r>
      <w:r w:rsidRPr="008D37F0">
        <w:t>за ходом ввода в эксплуатацию объект</w:t>
      </w:r>
      <w:r>
        <w:t>ов</w:t>
      </w:r>
      <w:r w:rsidRPr="008D37F0">
        <w:t xml:space="preserve"> нового строительства</w:t>
      </w:r>
      <w:r>
        <w:t>.</w:t>
      </w:r>
    </w:p>
    <w:tbl>
      <w:tblPr>
        <w:tblW w:w="10078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714"/>
        <w:gridCol w:w="2126"/>
        <w:gridCol w:w="2693"/>
        <w:gridCol w:w="1985"/>
      </w:tblGrid>
      <w:tr w:rsidR="00BA41DD" w:rsidRPr="005C4A61" w:rsidTr="001455C0">
        <w:trPr>
          <w:trHeight w:val="5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1DD" w:rsidRPr="005C4A61" w:rsidRDefault="00BA41DD" w:rsidP="001455C0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5C4A61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1DD" w:rsidRPr="005C4A61" w:rsidRDefault="00BA41DD" w:rsidP="001455C0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5C4A61">
              <w:rPr>
                <w:b/>
                <w:bCs/>
                <w:color w:val="000000"/>
              </w:rPr>
              <w:t>Адрес объекта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1DD" w:rsidRPr="005C4A61" w:rsidRDefault="00BA41DD" w:rsidP="001455C0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5C4A61">
              <w:rPr>
                <w:b/>
                <w:bCs/>
                <w:color w:val="000000"/>
              </w:rPr>
              <w:t>Номер разрешения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1DD" w:rsidRPr="005C4A61" w:rsidRDefault="00BA41DD" w:rsidP="001455C0">
            <w:pPr>
              <w:ind w:left="-724" w:firstLine="724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5C4A61">
              <w:rPr>
                <w:b/>
                <w:bCs/>
                <w:color w:val="000000"/>
              </w:rPr>
              <w:t>Застройщик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1DD" w:rsidRPr="005C4A61" w:rsidRDefault="00BA41DD" w:rsidP="001455C0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5C4A61">
              <w:rPr>
                <w:b/>
                <w:bCs/>
                <w:color w:val="000000"/>
              </w:rPr>
              <w:t>Наименование объекта</w:t>
            </w:r>
          </w:p>
        </w:tc>
      </w:tr>
      <w:tr w:rsidR="00BA41DD" w:rsidRPr="00F008E5" w:rsidTr="001455C0">
        <w:trPr>
          <w:trHeight w:val="109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5C4A61" w:rsidRDefault="00BA41DD" w:rsidP="001455C0">
            <w:pPr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5C4A61">
              <w:rPr>
                <w:rFonts w:eastAsia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F008E5" w:rsidRDefault="00BA41DD" w:rsidP="001455C0">
            <w:pPr>
              <w:rPr>
                <w:color w:val="000000"/>
                <w:highlight w:val="yellow"/>
              </w:rPr>
            </w:pPr>
            <w:r>
              <w:t>Кушелевская дорога, дом 6, корпус 3, сооружение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812C49" w:rsidRDefault="00BA41DD" w:rsidP="001455C0">
            <w:pPr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12C49">
              <w:rPr>
                <w:rFonts w:eastAsiaTheme="minorHAnsi"/>
                <w:color w:val="000000"/>
                <w:sz w:val="22"/>
                <w:szCs w:val="22"/>
              </w:rPr>
              <w:t>78-04-01-2020 от 10.01.2020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812C49" w:rsidRDefault="00BA41DD" w:rsidP="001455C0">
            <w:pPr>
              <w:ind w:left="179"/>
              <w:rPr>
                <w:rFonts w:eastAsiaTheme="minorHAnsi"/>
                <w:color w:val="000000"/>
                <w:sz w:val="22"/>
                <w:szCs w:val="22"/>
              </w:rPr>
            </w:pPr>
            <w:r w:rsidRPr="00812C49">
              <w:rPr>
                <w:rFonts w:eastAsiaTheme="minorHAnsi"/>
                <w:color w:val="000000"/>
                <w:sz w:val="22"/>
                <w:szCs w:val="22"/>
              </w:rPr>
              <w:t>ООО «ТЕПЛОЭНЕРГО»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F008E5" w:rsidRDefault="00BA41DD" w:rsidP="001455C0">
            <w:pPr>
              <w:rPr>
                <w:rFonts w:eastAsiaTheme="minorHAnsi"/>
                <w:color w:val="000000"/>
                <w:sz w:val="22"/>
                <w:szCs w:val="22"/>
                <w:highlight w:val="yellow"/>
              </w:rPr>
            </w:pPr>
            <w:r>
              <w:t>Котельная</w:t>
            </w:r>
          </w:p>
        </w:tc>
      </w:tr>
      <w:tr w:rsidR="00BA41DD" w:rsidRPr="00F008E5" w:rsidTr="001455C0">
        <w:trPr>
          <w:trHeight w:val="109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5C4A61" w:rsidRDefault="00BA41DD" w:rsidP="001455C0">
            <w:pPr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r>
              <w:t>Политехническая улица, дом 3, корпус 5, строение 1, 2, 3, 4, 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740F32" w:rsidRDefault="00BA41DD" w:rsidP="00145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78-04-02-2020 от 19.03.2020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pPr>
              <w:ind w:left="179"/>
            </w:pPr>
            <w:r>
              <w:t>ООО «Веда»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r w:rsidRPr="00270414">
              <w:t>Складской комплекс</w:t>
            </w:r>
          </w:p>
        </w:tc>
      </w:tr>
      <w:tr w:rsidR="00BA41DD" w:rsidRPr="00F008E5" w:rsidTr="001455C0">
        <w:trPr>
          <w:trHeight w:val="109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Default="00BA41DD" w:rsidP="001455C0">
            <w:pPr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r>
              <w:t>Суздальский проспект, дом 79, строение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740F32" w:rsidRDefault="00BA41DD" w:rsidP="00145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78-04-09-2020 от 30.06.2020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pPr>
              <w:ind w:left="179"/>
            </w:pPr>
            <w:r>
              <w:t>ООО «СтройИнжиниринг»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r w:rsidRPr="00270414">
              <w:t>Многоэтажный гараж</w:t>
            </w:r>
          </w:p>
        </w:tc>
      </w:tr>
      <w:tr w:rsidR="00BA41DD" w:rsidRPr="00F008E5" w:rsidTr="001455C0">
        <w:trPr>
          <w:trHeight w:val="109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270414" w:rsidRDefault="00BA41DD" w:rsidP="001455C0">
            <w:pPr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eastAsia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Default="00BA41DD" w:rsidP="001455C0">
            <w:r>
              <w:t xml:space="preserve">Чугунная улица, </w:t>
            </w:r>
            <w:r>
              <w:br/>
              <w:t>дом 46, литера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740F32" w:rsidRDefault="00BA41DD" w:rsidP="00145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78-04-17-2020 от 31.07.2020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pPr>
              <w:ind w:left="179"/>
            </w:pPr>
            <w:r>
              <w:t>Санкт-Петербургское государственное бюджетное учреждение здравоохранения Клиническая больница Святителя Луки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r w:rsidRPr="00270414">
              <w:t xml:space="preserve">Реконструкция больничного корпуса в части надстройки 5 этажа для размещения медицинских модулей операционного блока, отделения </w:t>
            </w:r>
            <w:r w:rsidRPr="00270414">
              <w:lastRenderedPageBreak/>
              <w:t>реанимации и интенсивной терапии</w:t>
            </w:r>
          </w:p>
        </w:tc>
      </w:tr>
      <w:tr w:rsidR="00BA41DD" w:rsidRPr="00F008E5" w:rsidTr="001455C0">
        <w:trPr>
          <w:trHeight w:val="109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270414" w:rsidRDefault="00BA41DD" w:rsidP="001455C0">
            <w:pPr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Default="00BA41DD" w:rsidP="001455C0">
            <w:r w:rsidRPr="00270414">
              <w:t xml:space="preserve">Проспект Науки, </w:t>
            </w:r>
            <w:r>
              <w:br/>
            </w:r>
            <w:r w:rsidRPr="00270414">
              <w:t>дом 23, корпус 2, строение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740F32" w:rsidRDefault="00BA41DD" w:rsidP="00145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78-04-27-2020 от 18.11.2020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pPr>
              <w:ind w:left="179"/>
            </w:pPr>
            <w:r>
              <w:t>ООО «Автодрайв»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1DD" w:rsidRPr="00621D7A" w:rsidRDefault="00BA41DD" w:rsidP="001455C0">
            <w:r w:rsidRPr="00270414">
              <w:t>Многоэтажный гараж</w:t>
            </w:r>
          </w:p>
        </w:tc>
      </w:tr>
    </w:tbl>
    <w:p w:rsidR="00BA41DD" w:rsidRDefault="00BA41DD" w:rsidP="00BA41DD">
      <w:pPr>
        <w:spacing w:after="240" w:line="264" w:lineRule="auto"/>
        <w:ind w:firstLine="709"/>
        <w:jc w:val="both"/>
      </w:pPr>
      <w:r w:rsidRPr="008D13F3">
        <w:t>В соответствии</w:t>
      </w:r>
      <w:r>
        <w:t xml:space="preserve"> с Планом работы администрации Калининского района Санкт-Петербурга, заседания Комиссии по вопросам экспертной оценки недвижимого имущества подведомственных учреждений за 4-й квартал 2020 года отделом строительства и землепользования  администрации </w:t>
      </w:r>
      <w:r w:rsidRPr="00740F32">
        <w:t xml:space="preserve">проводилась </w:t>
      </w:r>
      <w:r>
        <w:t xml:space="preserve">2 </w:t>
      </w:r>
      <w:r w:rsidRPr="00606D76">
        <w:t>раз</w:t>
      </w:r>
      <w:r>
        <w:t>а</w:t>
      </w:r>
      <w:r w:rsidRPr="00606D76">
        <w:t>.</w:t>
      </w:r>
    </w:p>
    <w:p w:rsidR="00BA41DD" w:rsidRDefault="00BA41DD" w:rsidP="00BA41DD">
      <w:pPr>
        <w:spacing w:line="264" w:lineRule="auto"/>
        <w:ind w:firstLine="709"/>
        <w:jc w:val="both"/>
      </w:pPr>
      <w:r w:rsidRPr="00561EE5">
        <w:t>Одной из функций районной администрации является организация и проведение публичных слушаний</w:t>
      </w:r>
      <w:r>
        <w:t xml:space="preserve"> и общественных обсуждений</w:t>
      </w:r>
      <w:r w:rsidRPr="00561EE5">
        <w:t>.</w:t>
      </w:r>
    </w:p>
    <w:p w:rsidR="00BA41DD" w:rsidRDefault="00BA41DD" w:rsidP="00BA41DD">
      <w:pPr>
        <w:spacing w:line="264" w:lineRule="auto"/>
        <w:ind w:firstLine="709"/>
        <w:jc w:val="both"/>
      </w:pPr>
      <w:r>
        <w:t>В 4 квартале 2020 года были организованы:</w:t>
      </w:r>
    </w:p>
    <w:p w:rsidR="00BA41DD" w:rsidRDefault="00BA41DD" w:rsidP="00BA41DD">
      <w:pPr>
        <w:spacing w:line="264" w:lineRule="auto"/>
        <w:ind w:firstLine="709"/>
        <w:jc w:val="both"/>
      </w:pPr>
      <w:r>
        <w:t xml:space="preserve">- в период с 14.11.2020 по 31.12.2020 общественные  обсуждения по </w:t>
      </w:r>
      <w:r w:rsidRPr="001A50E9">
        <w:t>проекту о внесении изменений в Правила землепользования и застройки Санкт-Петербурга</w:t>
      </w:r>
      <w:r>
        <w:t>;</w:t>
      </w:r>
    </w:p>
    <w:p w:rsidR="00BA41DD" w:rsidRDefault="00BA41DD" w:rsidP="00BA41DD">
      <w:pPr>
        <w:spacing w:line="264" w:lineRule="auto"/>
        <w:ind w:firstLine="709"/>
        <w:jc w:val="both"/>
      </w:pPr>
      <w:r>
        <w:t xml:space="preserve">- в период с 17.11.2020 по 11.12.2020 общественные  обсуждения по проекту </w:t>
      </w:r>
      <w:r>
        <w:br/>
      </w:r>
      <w:r w:rsidRPr="004472D4">
        <w:t>о</w:t>
      </w:r>
      <w:r>
        <w:t xml:space="preserve"> </w:t>
      </w:r>
      <w:r w:rsidRPr="004472D4">
        <w:t>предоставлении</w:t>
      </w:r>
      <w:r>
        <w:t xml:space="preserve"> </w:t>
      </w:r>
      <w:r w:rsidRPr="004472D4">
        <w:t>разрешения</w:t>
      </w:r>
      <w:r>
        <w:t xml:space="preserve"> </w:t>
      </w:r>
      <w:r w:rsidRPr="004472D4">
        <w:t>на</w:t>
      </w:r>
      <w:r>
        <w:t xml:space="preserve"> </w:t>
      </w:r>
      <w:r w:rsidRPr="004472D4">
        <w:t>отклонение</w:t>
      </w:r>
      <w:r>
        <w:t xml:space="preserve"> </w:t>
      </w:r>
      <w:r w:rsidRPr="004472D4">
        <w:t>от</w:t>
      </w:r>
      <w:r>
        <w:t xml:space="preserve"> </w:t>
      </w:r>
      <w:r w:rsidRPr="004472D4">
        <w:t>предельных</w:t>
      </w:r>
      <w:r>
        <w:t xml:space="preserve"> </w:t>
      </w:r>
      <w:r w:rsidRPr="004472D4">
        <w:t>параметров</w:t>
      </w:r>
      <w:r>
        <w:t xml:space="preserve"> </w:t>
      </w:r>
      <w:r w:rsidRPr="004472D4">
        <w:t>разрешенного</w:t>
      </w:r>
      <w:r>
        <w:t xml:space="preserve"> </w:t>
      </w:r>
      <w:r w:rsidRPr="004472D4">
        <w:t>строительства,</w:t>
      </w:r>
      <w:r>
        <w:t xml:space="preserve"> </w:t>
      </w:r>
      <w:r w:rsidRPr="004472D4">
        <w:t>реконструкции</w:t>
      </w:r>
      <w:r>
        <w:t xml:space="preserve"> </w:t>
      </w:r>
      <w:r w:rsidRPr="004472D4">
        <w:t>объектов</w:t>
      </w:r>
      <w:r>
        <w:t xml:space="preserve"> </w:t>
      </w:r>
      <w:r w:rsidRPr="004472D4">
        <w:t>капитального</w:t>
      </w:r>
      <w:r>
        <w:t xml:space="preserve"> </w:t>
      </w:r>
      <w:r w:rsidRPr="004472D4">
        <w:t>строительства</w:t>
      </w:r>
      <w:r>
        <w:t xml:space="preserve"> </w:t>
      </w:r>
      <w:r w:rsidRPr="004472D4">
        <w:t>на</w:t>
      </w:r>
      <w:r>
        <w:t xml:space="preserve"> </w:t>
      </w:r>
      <w:r w:rsidRPr="004472D4">
        <w:t>земельном</w:t>
      </w:r>
      <w:r>
        <w:t xml:space="preserve"> </w:t>
      </w:r>
      <w:r w:rsidRPr="004472D4">
        <w:t>участк</w:t>
      </w:r>
      <w:r>
        <w:t xml:space="preserve">е </w:t>
      </w:r>
      <w:r>
        <w:br/>
      </w:r>
      <w:r w:rsidRPr="004472D4">
        <w:t>с</w:t>
      </w:r>
      <w:r>
        <w:t xml:space="preserve"> </w:t>
      </w:r>
      <w:r w:rsidRPr="004472D4">
        <w:t>кадастровым</w:t>
      </w:r>
      <w:r>
        <w:t xml:space="preserve"> </w:t>
      </w:r>
      <w:r w:rsidRPr="004472D4">
        <w:t>номером</w:t>
      </w:r>
      <w:r>
        <w:t xml:space="preserve"> </w:t>
      </w:r>
      <w:r w:rsidRPr="004472D4">
        <w:t>78:10:0005171:15</w:t>
      </w:r>
      <w:r>
        <w:t xml:space="preserve"> </w:t>
      </w:r>
      <w:r w:rsidRPr="004472D4">
        <w:t>(часть</w:t>
      </w:r>
      <w:r>
        <w:t xml:space="preserve"> </w:t>
      </w:r>
      <w:r w:rsidRPr="004472D4">
        <w:t>земельного</w:t>
      </w:r>
      <w:r>
        <w:t xml:space="preserve"> </w:t>
      </w:r>
      <w:r w:rsidRPr="004472D4">
        <w:t>участка</w:t>
      </w:r>
      <w:r>
        <w:t xml:space="preserve"> </w:t>
      </w:r>
      <w:r w:rsidRPr="004472D4">
        <w:t>согласно</w:t>
      </w:r>
      <w:r>
        <w:t xml:space="preserve"> </w:t>
      </w:r>
      <w:r w:rsidRPr="004472D4">
        <w:t>ведомости</w:t>
      </w:r>
      <w:r>
        <w:t xml:space="preserve"> </w:t>
      </w:r>
      <w:r w:rsidRPr="004472D4">
        <w:t>координат</w:t>
      </w:r>
      <w:r>
        <w:t xml:space="preserve"> </w:t>
      </w:r>
      <w:r w:rsidRPr="004472D4">
        <w:t>характерных</w:t>
      </w:r>
      <w:r>
        <w:t xml:space="preserve"> </w:t>
      </w:r>
      <w:r w:rsidRPr="004472D4">
        <w:t>точек),</w:t>
      </w:r>
      <w:r>
        <w:t xml:space="preserve"> </w:t>
      </w:r>
      <w:r w:rsidRPr="004472D4">
        <w:t>площадью</w:t>
      </w:r>
      <w:r>
        <w:t xml:space="preserve"> </w:t>
      </w:r>
      <w:r w:rsidRPr="004472D4">
        <w:t>30191</w:t>
      </w:r>
      <w:r>
        <w:t xml:space="preserve"> </w:t>
      </w:r>
      <w:r w:rsidRPr="004472D4">
        <w:t>кв.м,</w:t>
      </w:r>
      <w:r>
        <w:t xml:space="preserve"> </w:t>
      </w:r>
      <w:r w:rsidRPr="004472D4">
        <w:t>по</w:t>
      </w:r>
      <w:r>
        <w:t xml:space="preserve"> </w:t>
      </w:r>
      <w:r w:rsidRPr="004472D4">
        <w:t>адресу:</w:t>
      </w:r>
      <w:r>
        <w:t xml:space="preserve"> </w:t>
      </w:r>
      <w:r w:rsidRPr="004472D4">
        <w:t>Санкт-Петербург,</w:t>
      </w:r>
      <w:r>
        <w:t xml:space="preserve"> </w:t>
      </w:r>
      <w:r w:rsidRPr="004472D4">
        <w:t>территория,</w:t>
      </w:r>
      <w:r>
        <w:t xml:space="preserve"> </w:t>
      </w:r>
      <w:r w:rsidRPr="004472D4">
        <w:t>ограниченная</w:t>
      </w:r>
      <w:r>
        <w:t xml:space="preserve"> </w:t>
      </w:r>
      <w:r w:rsidRPr="004472D4">
        <w:t>Лабораторной</w:t>
      </w:r>
      <w:r>
        <w:t xml:space="preserve"> </w:t>
      </w:r>
      <w:r w:rsidRPr="004472D4">
        <w:t>ул.,</w:t>
      </w:r>
      <w:r>
        <w:t xml:space="preserve"> </w:t>
      </w:r>
      <w:r w:rsidRPr="004472D4">
        <w:t>пр.</w:t>
      </w:r>
      <w:r>
        <w:t xml:space="preserve"> </w:t>
      </w:r>
      <w:r w:rsidRPr="004472D4">
        <w:t>Маршала</w:t>
      </w:r>
      <w:r>
        <w:t xml:space="preserve"> </w:t>
      </w:r>
      <w:r w:rsidRPr="004472D4">
        <w:t>Блюхера,</w:t>
      </w:r>
      <w:r>
        <w:t xml:space="preserve"> </w:t>
      </w:r>
      <w:r w:rsidRPr="004472D4">
        <w:t>Кондратьевским</w:t>
      </w:r>
      <w:r>
        <w:t xml:space="preserve"> </w:t>
      </w:r>
      <w:r w:rsidRPr="004472D4">
        <w:t>пр.,</w:t>
      </w:r>
      <w:r>
        <w:t xml:space="preserve"> </w:t>
      </w:r>
      <w:r w:rsidRPr="004472D4">
        <w:t>пр.</w:t>
      </w:r>
      <w:r>
        <w:t xml:space="preserve"> </w:t>
      </w:r>
      <w:r w:rsidRPr="004472D4">
        <w:t>Металлистов,</w:t>
      </w:r>
      <w:r>
        <w:t xml:space="preserve"> </w:t>
      </w:r>
      <w:r w:rsidRPr="004472D4">
        <w:t>в</w:t>
      </w:r>
      <w:r>
        <w:t xml:space="preserve"> </w:t>
      </w:r>
      <w:r w:rsidRPr="004472D4">
        <w:t>Калининском</w:t>
      </w:r>
      <w:r>
        <w:t xml:space="preserve"> </w:t>
      </w:r>
      <w:r w:rsidRPr="004472D4">
        <w:t>районе,</w:t>
      </w:r>
      <w:r>
        <w:t xml:space="preserve"> </w:t>
      </w:r>
      <w:r w:rsidRPr="004472D4">
        <w:t>участок</w:t>
      </w:r>
      <w:r>
        <w:t xml:space="preserve">  </w:t>
      </w:r>
      <w:r w:rsidRPr="004472D4">
        <w:t>5</w:t>
      </w:r>
    </w:p>
    <w:p w:rsidR="00464943" w:rsidRDefault="00464943" w:rsidP="00000A93">
      <w:pPr>
        <w:tabs>
          <w:tab w:val="left" w:pos="1763"/>
        </w:tabs>
        <w:ind w:firstLine="709"/>
        <w:jc w:val="both"/>
      </w:pP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>
        <w:t xml:space="preserve">В разделе «Социальная сфера» </w:t>
      </w:r>
      <w:r w:rsidR="00BA41DD">
        <w:t>44</w:t>
      </w:r>
      <w:r>
        <w:t>,6% обращений (2</w:t>
      </w:r>
      <w:r w:rsidR="00BA41DD">
        <w:t>8</w:t>
      </w:r>
      <w:r>
        <w:t>7) содержали вопросы, относящиеся к тематике «</w:t>
      </w:r>
      <w:r w:rsidRPr="002E1D89">
        <w:rPr>
          <w:rFonts w:eastAsia="Segoe UI"/>
        </w:rPr>
        <w:t>Здравоохранение</w:t>
      </w:r>
      <w:r>
        <w:rPr>
          <w:rFonts w:eastAsia="Segoe UI"/>
        </w:rPr>
        <w:t>», 2</w:t>
      </w:r>
      <w:r w:rsidR="00BA41DD">
        <w:rPr>
          <w:rFonts w:eastAsia="Segoe UI"/>
        </w:rPr>
        <w:t>6,</w:t>
      </w:r>
      <w:r>
        <w:rPr>
          <w:rFonts w:eastAsia="Segoe UI"/>
        </w:rPr>
        <w:t>2% к тематике «</w:t>
      </w:r>
      <w:r w:rsidRPr="00A61081">
        <w:rPr>
          <w:rFonts w:eastAsia="Segoe UI"/>
        </w:rPr>
        <w:t>Социальное обеспечение и социальное страхование</w:t>
      </w:r>
      <w:r>
        <w:rPr>
          <w:rFonts w:eastAsia="Segoe UI"/>
        </w:rPr>
        <w:t xml:space="preserve">» и </w:t>
      </w:r>
      <w:r w:rsidR="00BA41DD">
        <w:rPr>
          <w:rFonts w:eastAsia="Segoe UI"/>
        </w:rPr>
        <w:t>19</w:t>
      </w:r>
      <w:r>
        <w:rPr>
          <w:rFonts w:eastAsia="Segoe UI"/>
        </w:rPr>
        <w:t>,</w:t>
      </w:r>
      <w:r w:rsidR="00BA41DD">
        <w:rPr>
          <w:rFonts w:eastAsia="Segoe UI"/>
        </w:rPr>
        <w:t>7</w:t>
      </w:r>
      <w:r>
        <w:rPr>
          <w:rFonts w:eastAsia="Segoe UI"/>
        </w:rPr>
        <w:t>%</w:t>
      </w:r>
      <w:r>
        <w:t xml:space="preserve"> «</w:t>
      </w:r>
      <w:r w:rsidRPr="00A61081">
        <w:rPr>
          <w:rFonts w:eastAsia="Segoe UI"/>
        </w:rPr>
        <w:t>Образование</w:t>
      </w:r>
      <w:r>
        <w:rPr>
          <w:rFonts w:eastAsia="Segoe UI"/>
        </w:rPr>
        <w:t>».</w:t>
      </w:r>
    </w:p>
    <w:tbl>
      <w:tblPr>
        <w:tblW w:w="864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851"/>
        <w:gridCol w:w="709"/>
        <w:gridCol w:w="709"/>
        <w:gridCol w:w="709"/>
      </w:tblGrid>
      <w:tr w:rsidR="00BA41DD" w:rsidRPr="00BE77BF" w:rsidTr="00BA41DD">
        <w:trPr>
          <w:trHeight w:val="262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DD7218" w:rsidRDefault="00BA41DD" w:rsidP="001455C0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Default="00BA41DD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DD" w:rsidRPr="00DD7218" w:rsidRDefault="00BA41DD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DD" w:rsidRPr="00DD7218" w:rsidRDefault="00BA41DD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DD" w:rsidRPr="00DD7218" w:rsidRDefault="00BA41DD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</w:tr>
      <w:tr w:rsidR="00BA41DD" w:rsidRPr="00690575" w:rsidTr="00BA41DD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690575" w:rsidRDefault="00BA41DD" w:rsidP="00BA41DD">
            <w:pPr>
              <w:jc w:val="center"/>
            </w:pPr>
            <w:r w:rsidRPr="00690575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690575" w:rsidRDefault="00BA41DD" w:rsidP="00EC71AC">
            <w:pPr>
              <w:jc w:val="center"/>
            </w:pPr>
            <w:hyperlink r:id="rId21" w:history="1">
              <w:r>
                <w:rPr>
                  <w:rFonts w:eastAsia="Segoe UI"/>
                  <w:b/>
                </w:rPr>
                <w:t>7</w:t>
              </w:r>
              <w:r w:rsidR="00EC71AC">
                <w:rPr>
                  <w:rFonts w:eastAsia="Segoe UI"/>
                  <w:b/>
                </w:rPr>
                <w:t>47</w:t>
              </w:r>
            </w:hyperlink>
          </w:p>
        </w:tc>
        <w:tc>
          <w:tcPr>
            <w:tcW w:w="709" w:type="dxa"/>
          </w:tcPr>
          <w:p w:rsidR="00BA41DD" w:rsidRPr="00690575" w:rsidRDefault="00BA41DD" w:rsidP="00BA41DD">
            <w:pPr>
              <w:jc w:val="center"/>
            </w:pPr>
            <w:r w:rsidRPr="00690575">
              <w:rPr>
                <w:rFonts w:eastAsia="Segoe UI"/>
                <w:b/>
              </w:rPr>
              <w:t>100%</w:t>
            </w:r>
          </w:p>
        </w:tc>
        <w:tc>
          <w:tcPr>
            <w:tcW w:w="709" w:type="dxa"/>
          </w:tcPr>
          <w:p w:rsidR="00BA41DD" w:rsidRPr="00690575" w:rsidRDefault="00BA41DD" w:rsidP="00BA41DD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550</w:t>
            </w:r>
          </w:p>
        </w:tc>
        <w:tc>
          <w:tcPr>
            <w:tcW w:w="709" w:type="dxa"/>
          </w:tcPr>
          <w:p w:rsidR="00BA41DD" w:rsidRPr="00690575" w:rsidRDefault="00BA41DD" w:rsidP="00BA41DD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100</w:t>
            </w:r>
            <w:r w:rsidRPr="00690575">
              <w:rPr>
                <w:rFonts w:eastAsia="Segoe UI"/>
                <w:b/>
              </w:rPr>
              <w:t>%</w:t>
            </w:r>
          </w:p>
        </w:tc>
      </w:tr>
      <w:tr w:rsidR="00BA41DD" w:rsidRPr="00CF34BF" w:rsidTr="00BA41DD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BA41DD" w:rsidP="00BA41DD">
            <w:r w:rsidRPr="00CF34BF">
              <w:rPr>
                <w:rFonts w:eastAsia="Segoe UI"/>
              </w:rPr>
              <w:t>Семья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EC71AC" w:rsidP="00BA41DD">
            <w:pPr>
              <w:jc w:val="center"/>
            </w:pPr>
            <w:r>
              <w:t>61</w:t>
            </w:r>
          </w:p>
        </w:tc>
        <w:tc>
          <w:tcPr>
            <w:tcW w:w="709" w:type="dxa"/>
          </w:tcPr>
          <w:p w:rsidR="00BA41DD" w:rsidRPr="00CF34BF" w:rsidRDefault="00BA41DD" w:rsidP="00BA41DD">
            <w:pPr>
              <w:jc w:val="center"/>
            </w:pPr>
            <w:r w:rsidRPr="00CF34BF">
              <w:rPr>
                <w:rFonts w:eastAsia="Segoe UI"/>
              </w:rPr>
              <w:t>5,4%</w:t>
            </w:r>
          </w:p>
        </w:tc>
        <w:tc>
          <w:tcPr>
            <w:tcW w:w="709" w:type="dxa"/>
          </w:tcPr>
          <w:p w:rsidR="00BA41DD" w:rsidRPr="00CF34BF" w:rsidRDefault="00BA41DD" w:rsidP="00BA41DD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26</w:t>
            </w:r>
          </w:p>
        </w:tc>
        <w:tc>
          <w:tcPr>
            <w:tcW w:w="709" w:type="dxa"/>
          </w:tcPr>
          <w:p w:rsidR="00BA41DD" w:rsidRPr="00CF34BF" w:rsidRDefault="00BA41DD" w:rsidP="00BA41DD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4,7%</w:t>
            </w:r>
          </w:p>
        </w:tc>
      </w:tr>
      <w:tr w:rsidR="00BA41DD" w:rsidRPr="00CF34BF" w:rsidTr="00BA41DD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BA41DD" w:rsidP="00BA41DD">
            <w:r w:rsidRPr="00CF34BF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BA41DD" w:rsidP="00EC71AC">
            <w:pPr>
              <w:jc w:val="center"/>
            </w:pPr>
            <w:hyperlink r:id="rId22" w:history="1">
              <w:r w:rsidRPr="00CF34BF">
                <w:rPr>
                  <w:rFonts w:eastAsia="Segoe UI"/>
                </w:rPr>
                <w:t>1</w:t>
              </w:r>
              <w:r w:rsidR="00EC71AC">
                <w:rPr>
                  <w:rFonts w:eastAsia="Segoe UI"/>
                </w:rPr>
                <w:t>0</w:t>
              </w:r>
            </w:hyperlink>
          </w:p>
        </w:tc>
        <w:tc>
          <w:tcPr>
            <w:tcW w:w="709" w:type="dxa"/>
          </w:tcPr>
          <w:p w:rsidR="00BA41DD" w:rsidRPr="00CF34BF" w:rsidRDefault="00EC71AC" w:rsidP="00EC71AC">
            <w:pPr>
              <w:jc w:val="center"/>
            </w:pPr>
            <w:r>
              <w:rPr>
                <w:rFonts w:eastAsia="Segoe UI"/>
              </w:rPr>
              <w:t>1</w:t>
            </w:r>
            <w:r w:rsidR="00BA41DD" w:rsidRPr="00CF34BF">
              <w:rPr>
                <w:rFonts w:eastAsia="Segoe UI"/>
              </w:rPr>
              <w:t>,2%</w:t>
            </w:r>
          </w:p>
        </w:tc>
        <w:tc>
          <w:tcPr>
            <w:tcW w:w="709" w:type="dxa"/>
          </w:tcPr>
          <w:p w:rsidR="00BA41DD" w:rsidRPr="00CF34BF" w:rsidRDefault="00BA41DD" w:rsidP="00BA41DD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8</w:t>
            </w:r>
          </w:p>
        </w:tc>
        <w:tc>
          <w:tcPr>
            <w:tcW w:w="709" w:type="dxa"/>
          </w:tcPr>
          <w:p w:rsidR="00BA41DD" w:rsidRPr="00CF34BF" w:rsidRDefault="00BA41DD" w:rsidP="00BA41DD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1,5%</w:t>
            </w:r>
          </w:p>
        </w:tc>
      </w:tr>
      <w:tr w:rsidR="00BA41DD" w:rsidRPr="00CF34BF" w:rsidTr="00BA41DD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BA41DD" w:rsidP="00BA41DD">
            <w:r w:rsidRPr="00CF34BF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EC71AC" w:rsidP="00BA41DD">
            <w:pPr>
              <w:jc w:val="center"/>
            </w:pPr>
            <w:r>
              <w:t>196</w:t>
            </w:r>
          </w:p>
        </w:tc>
        <w:tc>
          <w:tcPr>
            <w:tcW w:w="709" w:type="dxa"/>
          </w:tcPr>
          <w:p w:rsidR="00BA41DD" w:rsidRPr="00CF34BF" w:rsidRDefault="00EC71AC" w:rsidP="00BA41DD">
            <w:pPr>
              <w:jc w:val="center"/>
            </w:pPr>
            <w:r>
              <w:rPr>
                <w:rFonts w:eastAsia="Segoe UI"/>
              </w:rPr>
              <w:t>26</w:t>
            </w:r>
            <w:r w:rsidR="00BA41DD" w:rsidRPr="00CF34BF">
              <w:rPr>
                <w:rFonts w:eastAsia="Segoe UI"/>
              </w:rPr>
              <w:t>%</w:t>
            </w:r>
          </w:p>
        </w:tc>
        <w:tc>
          <w:tcPr>
            <w:tcW w:w="709" w:type="dxa"/>
          </w:tcPr>
          <w:p w:rsidR="00BA41DD" w:rsidRPr="00CF34BF" w:rsidRDefault="00BA41DD" w:rsidP="00BA41DD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123</w:t>
            </w:r>
          </w:p>
        </w:tc>
        <w:tc>
          <w:tcPr>
            <w:tcW w:w="709" w:type="dxa"/>
          </w:tcPr>
          <w:p w:rsidR="00BA41DD" w:rsidRPr="00CF34BF" w:rsidRDefault="00EC71AC" w:rsidP="00BA41DD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22,4%</w:t>
            </w:r>
          </w:p>
        </w:tc>
      </w:tr>
      <w:tr w:rsidR="00BA41DD" w:rsidRPr="00CF34BF" w:rsidTr="00BA41DD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BA41DD" w:rsidP="00BA41DD">
            <w:r w:rsidRPr="00CF34BF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EC71AC" w:rsidP="00EC71AC">
            <w:pPr>
              <w:jc w:val="center"/>
            </w:pPr>
            <w:r>
              <w:rPr>
                <w:rFonts w:eastAsia="Segoe UI"/>
              </w:rPr>
              <w:t>145</w:t>
            </w:r>
          </w:p>
        </w:tc>
        <w:tc>
          <w:tcPr>
            <w:tcW w:w="709" w:type="dxa"/>
          </w:tcPr>
          <w:p w:rsidR="00BA41DD" w:rsidRPr="00CF34BF" w:rsidRDefault="00EC71AC" w:rsidP="00BA41DD">
            <w:pPr>
              <w:jc w:val="center"/>
            </w:pPr>
            <w:r>
              <w:rPr>
                <w:rFonts w:eastAsia="Segoe UI"/>
              </w:rPr>
              <w:t>20,9</w:t>
            </w:r>
            <w:r w:rsidR="00BA41DD" w:rsidRPr="00CF34BF">
              <w:rPr>
                <w:rFonts w:eastAsia="Segoe UI"/>
              </w:rPr>
              <w:t>%</w:t>
            </w:r>
          </w:p>
        </w:tc>
        <w:tc>
          <w:tcPr>
            <w:tcW w:w="709" w:type="dxa"/>
          </w:tcPr>
          <w:p w:rsidR="00BA41DD" w:rsidRPr="00CF34BF" w:rsidRDefault="00EC71AC" w:rsidP="00BA41DD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129</w:t>
            </w:r>
          </w:p>
        </w:tc>
        <w:tc>
          <w:tcPr>
            <w:tcW w:w="709" w:type="dxa"/>
          </w:tcPr>
          <w:p w:rsidR="00BA41DD" w:rsidRPr="00CF34BF" w:rsidRDefault="00EC71AC" w:rsidP="00BA41DD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23,5%</w:t>
            </w:r>
          </w:p>
        </w:tc>
      </w:tr>
      <w:tr w:rsidR="00BA41DD" w:rsidRPr="00CF34BF" w:rsidTr="00BA41DD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BA41DD" w:rsidP="00BA41DD">
            <w:r w:rsidRPr="00CF34BF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A41DD" w:rsidRPr="00CF34BF" w:rsidRDefault="00EC71AC" w:rsidP="00EC71AC">
            <w:pPr>
              <w:jc w:val="center"/>
            </w:pPr>
            <w:r>
              <w:rPr>
                <w:rFonts w:eastAsia="Segoe UI"/>
                <w:i/>
              </w:rPr>
              <w:t>333</w:t>
            </w:r>
          </w:p>
        </w:tc>
        <w:tc>
          <w:tcPr>
            <w:tcW w:w="709" w:type="dxa"/>
          </w:tcPr>
          <w:p w:rsidR="00BA41DD" w:rsidRPr="00CF34BF" w:rsidRDefault="00BA41DD" w:rsidP="00BA41DD">
            <w:pPr>
              <w:jc w:val="center"/>
            </w:pPr>
            <w:r w:rsidRPr="00CF34BF">
              <w:rPr>
                <w:rFonts w:eastAsia="Segoe UI"/>
                <w:i/>
              </w:rPr>
              <w:t>-</w:t>
            </w:r>
          </w:p>
        </w:tc>
        <w:tc>
          <w:tcPr>
            <w:tcW w:w="709" w:type="dxa"/>
          </w:tcPr>
          <w:p w:rsidR="00BA41DD" w:rsidRPr="00CF34BF" w:rsidRDefault="00EC71AC" w:rsidP="00BA41DD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121</w:t>
            </w:r>
          </w:p>
        </w:tc>
        <w:tc>
          <w:tcPr>
            <w:tcW w:w="709" w:type="dxa"/>
          </w:tcPr>
          <w:p w:rsidR="00BA41DD" w:rsidRPr="00CF34BF" w:rsidRDefault="00EC71AC" w:rsidP="00BA41DD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-</w:t>
            </w:r>
          </w:p>
        </w:tc>
      </w:tr>
      <w:tr w:rsidR="00EC71AC" w:rsidRPr="00CF34BF" w:rsidTr="00BA41DD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C71AC" w:rsidRPr="00CF34BF" w:rsidRDefault="00EC71AC" w:rsidP="00EC71AC">
            <w:pPr>
              <w:rPr>
                <w:rFonts w:eastAsia="Segoe UI"/>
                <w:i/>
              </w:rPr>
            </w:pPr>
            <w:r w:rsidRPr="00CF34BF">
              <w:rPr>
                <w:rFonts w:eastAsia="Segoe UI"/>
              </w:rPr>
              <w:t>Здравоохранение.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C71AC" w:rsidRDefault="00EC71AC" w:rsidP="00EC71AC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307</w:t>
            </w:r>
          </w:p>
        </w:tc>
        <w:tc>
          <w:tcPr>
            <w:tcW w:w="709" w:type="dxa"/>
          </w:tcPr>
          <w:p w:rsidR="00EC71AC" w:rsidRPr="00CF34BF" w:rsidRDefault="00EC71AC" w:rsidP="00EC71AC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31,6%</w:t>
            </w:r>
          </w:p>
        </w:tc>
        <w:tc>
          <w:tcPr>
            <w:tcW w:w="709" w:type="dxa"/>
          </w:tcPr>
          <w:p w:rsidR="00EC71AC" w:rsidRPr="00CF34BF" w:rsidRDefault="00EC71AC" w:rsidP="00EC71AC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264</w:t>
            </w:r>
          </w:p>
        </w:tc>
        <w:tc>
          <w:tcPr>
            <w:tcW w:w="709" w:type="dxa"/>
          </w:tcPr>
          <w:p w:rsidR="00EC71AC" w:rsidRPr="00CF34BF" w:rsidRDefault="00EC71AC" w:rsidP="00EC71AC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48%</w:t>
            </w:r>
          </w:p>
        </w:tc>
      </w:tr>
      <w:tr w:rsidR="00EC71AC" w:rsidRPr="00CF34BF" w:rsidTr="00BA41DD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C71AC" w:rsidRPr="00CF34BF" w:rsidRDefault="00EC71AC" w:rsidP="00EC71AC">
            <w:r w:rsidRPr="00CF34BF">
              <w:rPr>
                <w:rFonts w:eastAsia="Segoe UI"/>
              </w:rPr>
              <w:t>Физическая культура и спорт. Туризм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C71AC" w:rsidRPr="00CF34BF" w:rsidRDefault="00EC71AC" w:rsidP="00EC71AC">
            <w:pPr>
              <w:jc w:val="center"/>
            </w:pPr>
            <w:r>
              <w:rPr>
                <w:rFonts w:eastAsia="Segoe UI"/>
              </w:rPr>
              <w:t>16</w:t>
            </w:r>
          </w:p>
        </w:tc>
        <w:tc>
          <w:tcPr>
            <w:tcW w:w="709" w:type="dxa"/>
          </w:tcPr>
          <w:p w:rsidR="00EC71AC" w:rsidRPr="00CF34BF" w:rsidRDefault="00EC71AC" w:rsidP="00EC71AC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C71AC" w:rsidRPr="00CF34BF" w:rsidRDefault="00EC71AC" w:rsidP="00EC71AC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13</w:t>
            </w:r>
          </w:p>
        </w:tc>
        <w:tc>
          <w:tcPr>
            <w:tcW w:w="709" w:type="dxa"/>
          </w:tcPr>
          <w:p w:rsidR="00EC71AC" w:rsidRPr="00CF34BF" w:rsidRDefault="00EC71AC" w:rsidP="00EC71AC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-</w:t>
            </w:r>
          </w:p>
        </w:tc>
      </w:tr>
    </w:tbl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тематика «Здравоохранение. Физическая культура и спорт. Туризм» содержала, в основном, вопросы, касающиеся деятельности медицинских учреждений и оказания медицинской помощи. Наиболее частые из них:</w:t>
      </w:r>
    </w:p>
    <w:tbl>
      <w:tblPr>
        <w:tblW w:w="9793" w:type="dxa"/>
        <w:tblInd w:w="96" w:type="dxa"/>
        <w:tblLook w:val="04A0" w:firstRow="1" w:lastRow="0" w:firstColumn="1" w:lastColumn="0" w:noHBand="0" w:noVBand="1"/>
      </w:tblPr>
      <w:tblGrid>
        <w:gridCol w:w="8659"/>
        <w:gridCol w:w="1134"/>
      </w:tblGrid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Работа медицинских учреждений и их сотрудников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EC71AC">
            <w:pPr>
              <w:jc w:val="center"/>
            </w:pPr>
            <w:hyperlink r:id="rId23" w:history="1">
              <w:r w:rsidR="00EC71AC">
                <w:t>119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Лечение и оказание медицинской помощи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EC71AC" w:rsidP="007C2B34">
            <w:pPr>
              <w:jc w:val="center"/>
            </w:pPr>
            <w:r>
              <w:t>32</w:t>
            </w:r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EC71AC">
            <w:pPr>
              <w:jc w:val="center"/>
            </w:pPr>
            <w:hyperlink r:id="rId24" w:history="1">
              <w:r w:rsidR="00EC71AC">
                <w:t>29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медицинская помощь и лечение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EC71AC">
            <w:pPr>
              <w:jc w:val="center"/>
            </w:pPr>
            <w:hyperlink r:id="rId25" w:history="1">
              <w:r w:rsidR="00EC71AC">
                <w:t>18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Меры социальной поддержки медицинских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EC71AC">
            <w:pPr>
              <w:jc w:val="center"/>
            </w:pPr>
            <w:hyperlink r:id="rId26" w:history="1">
              <w:r w:rsidR="00EC71AC">
                <w:t>13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lastRenderedPageBreak/>
              <w:t>Качество оказания медицинской помощи детям в амбулаторно-поликлинических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7C2B34">
            <w:pPr>
              <w:jc w:val="center"/>
            </w:pPr>
            <w:hyperlink r:id="rId27" w:history="1">
              <w:r w:rsidR="00000A93" w:rsidRPr="00251D43">
                <w:t>7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7C2B34">
            <w:pPr>
              <w:jc w:val="center"/>
            </w:pPr>
            <w:hyperlink r:id="rId28" w:history="1">
              <w:r w:rsidR="00000A93" w:rsidRPr="00251D43">
                <w:t>7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Оказание медицинской помощи детям в амбулаторно-поликлинических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CA16D2">
            <w:pPr>
              <w:jc w:val="center"/>
            </w:pPr>
            <w:hyperlink r:id="rId29" w:history="1">
              <w:r w:rsidR="00CA16D2">
                <w:t>2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Заработная плата медицинских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CA16D2">
            <w:pPr>
              <w:jc w:val="center"/>
            </w:pPr>
            <w:hyperlink r:id="rId30" w:history="1">
              <w:r w:rsidR="00CA16D2">
                <w:t>1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Служба скорой и неотложной медицинской помощи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CA16D2">
            <w:pPr>
              <w:jc w:val="center"/>
            </w:pPr>
            <w:hyperlink r:id="rId31" w:history="1">
              <w:r w:rsidR="00CA16D2">
                <w:t>6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Обеспечение потребности в медицинской помощи и объемов ее получения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7C2B34">
            <w:pPr>
              <w:jc w:val="center"/>
            </w:pPr>
            <w:hyperlink r:id="rId32" w:history="1">
              <w:r w:rsidR="00000A93" w:rsidRPr="00251D43">
                <w:t>3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Санитарно-эпидемиологическое благополучие населения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CA16D2">
            <w:pPr>
              <w:jc w:val="center"/>
            </w:pPr>
            <w:hyperlink r:id="rId33" w:history="1">
              <w:r w:rsidR="00CA16D2">
                <w:t>1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Помещение в больницы и специализированные лечебные учреждения. Оплата за лечение, пребывание в лечебных учреждениях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7C2B34">
            <w:pPr>
              <w:jc w:val="center"/>
            </w:pPr>
            <w:hyperlink r:id="rId34" w:history="1">
              <w:r w:rsidR="00000A93" w:rsidRPr="00251D43">
                <w:t>2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Организация оказания медицинской помощи взрослым в стационарных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7C2B34">
            <w:pPr>
              <w:jc w:val="center"/>
            </w:pPr>
            <w:hyperlink r:id="rId35" w:history="1">
              <w:r w:rsidR="00000A93" w:rsidRPr="00251D43">
                <w:t>2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Качество оказания медицинской помощи взрослым в стационарных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7C2B34">
            <w:pPr>
              <w:jc w:val="center"/>
            </w:pPr>
            <w:hyperlink r:id="rId36" w:history="1">
              <w:r w:rsidR="00000A93" w:rsidRPr="00251D43">
                <w:t>2</w:t>
              </w:r>
            </w:hyperlink>
          </w:p>
        </w:tc>
      </w:tr>
      <w:tr w:rsidR="00000A93" w:rsidRPr="003640BC" w:rsidTr="007C2B34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7C2B34">
            <w:r w:rsidRPr="003640BC">
              <w:t>медицинская помощь и лечение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7C2B34" w:rsidP="007C2B34">
            <w:pPr>
              <w:jc w:val="center"/>
            </w:pPr>
            <w:hyperlink r:id="rId37" w:history="1">
              <w:r w:rsidR="00000A93" w:rsidRPr="00251D43">
                <w:t>2</w:t>
              </w:r>
            </w:hyperlink>
          </w:p>
        </w:tc>
      </w:tr>
    </w:tbl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  <w:r>
        <w:t xml:space="preserve">В основном, это вопросы, касающиеся деятельности медицинских учреждений </w:t>
      </w:r>
      <w:r w:rsidR="001455C0">
        <w:br/>
      </w:r>
      <w:r>
        <w:t>и оказания медицинской помощи.</w:t>
      </w: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  <w:r>
        <w:t>10 обращений содержали слова благодарности в адрес сотрудников медицинских учреждений за добросовестность и профессионализм исполнения должностных обязанностей, внимательное и чуткое отношение к проблемам граждан.</w:t>
      </w:r>
    </w:p>
    <w:p w:rsidR="00000A93" w:rsidRDefault="00000A93" w:rsidP="001455C0">
      <w:pPr>
        <w:pStyle w:val="af2"/>
        <w:spacing w:before="0" w:beforeAutospacing="0" w:after="0" w:afterAutospacing="0"/>
        <w:ind w:firstLine="709"/>
        <w:jc w:val="both"/>
      </w:pPr>
      <w:r>
        <w:t>По тематике «Социальное обеспечение и социальное страхование» заявителей волновали вопросы социального обеспечения и материальной помощи отдельным категориям граждан (многодетным, пенсионерам, малообеспеченным), а также вопросы пересмотра размера пенсий и предоставления дополнительных льгот отдельным категориям граждан.</w:t>
      </w:r>
    </w:p>
    <w:p w:rsidR="001455C0" w:rsidRPr="00960954" w:rsidRDefault="001455C0" w:rsidP="001455C0">
      <w:pPr>
        <w:jc w:val="both"/>
      </w:pPr>
      <w:r w:rsidRPr="00960954">
        <w:t xml:space="preserve">Во исполнение действующего федерального и регионального законодательства </w:t>
      </w:r>
      <w:r w:rsidRPr="00960954">
        <w:br/>
        <w:t xml:space="preserve">в сфере социальной защиты населения и в соответствии с квартальным планом администрации в </w:t>
      </w:r>
      <w:r>
        <w:t>4</w:t>
      </w:r>
      <w:r w:rsidRPr="00960954">
        <w:t xml:space="preserve"> квартале 2020 года проведены заседания консультативных </w:t>
      </w:r>
      <w:r w:rsidRPr="00960954">
        <w:br/>
        <w:t>и совещательных органов:</w:t>
      </w:r>
    </w:p>
    <w:p w:rsidR="001455C0" w:rsidRDefault="001455C0" w:rsidP="001455C0">
      <w:pPr>
        <w:shd w:val="clear" w:color="auto" w:fill="FFFFFF"/>
        <w:jc w:val="both"/>
      </w:pPr>
      <w:r w:rsidRPr="00A729EE">
        <w:t>2</w:t>
      </w:r>
      <w:r>
        <w:t>7</w:t>
      </w:r>
      <w:r w:rsidRPr="00A729EE">
        <w:t xml:space="preserve"> заседаний Комиссии по предоставлению государственной социальной помощи жителям Калининского района Санкт-Петербурга, на которых рассмотрены </w:t>
      </w:r>
      <w:r>
        <w:t>876</w:t>
      </w:r>
      <w:r w:rsidRPr="00A729EE">
        <w:t xml:space="preserve"> заявлени</w:t>
      </w:r>
      <w:r>
        <w:t>й</w:t>
      </w:r>
      <w:r w:rsidRPr="00A729EE">
        <w:t xml:space="preserve"> граждан. Оказана государственная социальная помощь по </w:t>
      </w:r>
      <w:r>
        <w:t>608</w:t>
      </w:r>
      <w:r w:rsidRPr="00A729EE">
        <w:t xml:space="preserve"> обращениям.</w:t>
      </w:r>
    </w:p>
    <w:p w:rsidR="001455C0" w:rsidRDefault="001455C0" w:rsidP="001455C0">
      <w:pPr>
        <w:shd w:val="clear" w:color="auto" w:fill="FFFFFF"/>
        <w:jc w:val="both"/>
      </w:pPr>
      <w:r>
        <w:t xml:space="preserve">  Восемь</w:t>
      </w:r>
      <w:r w:rsidRPr="00D915B7">
        <w:t xml:space="preserve"> заседаний Комиссии по предоставлению экстренной социальной помощи жителям Калининского района Санкт-Петербурга, находящимся в кризисной жизненной ситуации: рассмотрены 13 заявлений на оказание экстренной помощи, из них: приняты положительные решения по 7 заявлениям, отказано – 6</w:t>
      </w:r>
      <w:r>
        <w:t>.</w:t>
      </w:r>
    </w:p>
    <w:p w:rsidR="001455C0" w:rsidRPr="00215685" w:rsidRDefault="001455C0" w:rsidP="001455C0">
      <w:pPr>
        <w:shd w:val="clear" w:color="auto" w:fill="FFFFFF"/>
        <w:jc w:val="both"/>
      </w:pPr>
      <w:r w:rsidRPr="00413EF7">
        <w:rPr>
          <w:color w:val="000000" w:themeColor="text1"/>
        </w:rPr>
        <w:t>Семь</w:t>
      </w:r>
      <w:r w:rsidRPr="004C544D">
        <w:rPr>
          <w:b/>
          <w:color w:val="000000" w:themeColor="text1"/>
        </w:rPr>
        <w:t xml:space="preserve"> </w:t>
      </w:r>
      <w:r w:rsidRPr="004C544D">
        <w:rPr>
          <w:color w:val="000000" w:themeColor="text1"/>
        </w:rPr>
        <w:t xml:space="preserve">заседаний </w:t>
      </w:r>
      <w:r w:rsidRPr="00321F2C">
        <w:t xml:space="preserve">Комиссии по вопросам предоставления жилых помещений </w:t>
      </w:r>
      <w:r>
        <w:br/>
      </w:r>
      <w:r w:rsidRPr="00321F2C">
        <w:t xml:space="preserve">в домах системы социального обслуживания населения, признания граждан нуждающимися в специальной социальной защите и предоставления им жилых помещений для социальной защиты отдельных категорий граждан, а также по вопросам предоставления жилых помещений для детей-сирот и детей, оставшихся без попечения родителей, лиц из числа детей-сирот и детей, оставшихся без попечения родителей, специализированного жилищного фонда Санкт-Петербурга детям-сиротам и детям, оставшимся без попечения родителей, лицам из числа детей-сирот и детей, оставшихся без попечения родителей, и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помещений, на которых рассмотрены </w:t>
      </w:r>
      <w:r>
        <w:t>36</w:t>
      </w:r>
      <w:r w:rsidRPr="009560A3">
        <w:rPr>
          <w:color w:val="FF0000"/>
        </w:rPr>
        <w:t xml:space="preserve"> </w:t>
      </w:r>
      <w:r w:rsidRPr="002557F7">
        <w:rPr>
          <w:color w:val="000000" w:themeColor="text1"/>
        </w:rPr>
        <w:t>заявлен</w:t>
      </w:r>
      <w:r>
        <w:rPr>
          <w:color w:val="000000" w:themeColor="text1"/>
        </w:rPr>
        <w:t>ия</w:t>
      </w:r>
      <w:r w:rsidRPr="002557F7">
        <w:rPr>
          <w:color w:val="000000" w:themeColor="text1"/>
        </w:rPr>
        <w:t xml:space="preserve">: приняты положительные решения по </w:t>
      </w:r>
      <w:r>
        <w:rPr>
          <w:color w:val="000000" w:themeColor="text1"/>
        </w:rPr>
        <w:t xml:space="preserve">31 </w:t>
      </w:r>
      <w:r w:rsidRPr="002557F7">
        <w:rPr>
          <w:color w:val="000000" w:themeColor="text1"/>
        </w:rPr>
        <w:t>заявлени</w:t>
      </w:r>
      <w:r>
        <w:rPr>
          <w:color w:val="000000" w:themeColor="text1"/>
        </w:rPr>
        <w:t>ю</w:t>
      </w:r>
      <w:r w:rsidRPr="002557F7">
        <w:rPr>
          <w:color w:val="000000" w:themeColor="text1"/>
        </w:rPr>
        <w:t xml:space="preserve">, отказано – по </w:t>
      </w:r>
      <w:r>
        <w:rPr>
          <w:color w:val="000000" w:themeColor="text1"/>
        </w:rPr>
        <w:t xml:space="preserve">пяти.  </w:t>
      </w:r>
      <w:r>
        <w:t>Пять</w:t>
      </w:r>
      <w:r w:rsidRPr="00215685">
        <w:t xml:space="preserve"> заседаний Комиссии по присвоению звания «Ветеран труда», на которых рассмотрены </w:t>
      </w:r>
      <w:r>
        <w:t>112</w:t>
      </w:r>
      <w:r w:rsidRPr="00C5187E">
        <w:t xml:space="preserve"> комплектов документов: звание присвоено – 90, отказано – 22;</w:t>
      </w:r>
    </w:p>
    <w:p w:rsidR="001455C0" w:rsidRDefault="001455C0" w:rsidP="001455C0">
      <w:pPr>
        <w:pStyle w:val="af2"/>
        <w:spacing w:before="0" w:beforeAutospacing="0" w:after="0" w:afterAutospacing="0"/>
        <w:ind w:firstLine="709"/>
        <w:jc w:val="both"/>
      </w:pP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  <w:r>
        <w:t xml:space="preserve">В подтематике «Образование» в центре внимания продолжали оставаться вопросы устройства, перевода детей в дошкольные образовательные учреждения и школы. В своих обращениях граждане указывали на длительные сроки ожидания предоставления мест, </w:t>
      </w:r>
      <w:r>
        <w:lastRenderedPageBreak/>
        <w:t xml:space="preserve">предоставление места в детском саду, расположенном далеко от места проживания, нарушение принципа </w:t>
      </w:r>
      <w:r w:rsidRPr="00D35D8D">
        <w:t xml:space="preserve">очередности при комплектовании групп в дошкольных учреждениях. </w:t>
      </w:r>
    </w:p>
    <w:p w:rsidR="001455C0" w:rsidRPr="00A92953" w:rsidRDefault="001455C0" w:rsidP="001455C0">
      <w:pPr>
        <w:ind w:firstLine="709"/>
        <w:jc w:val="both"/>
      </w:pPr>
      <w:r w:rsidRPr="00A92953">
        <w:t>В соответствии с графиком (3 раза в неделю) продолжала работу Комиссия</w:t>
      </w:r>
      <w:r>
        <w:t xml:space="preserve"> </w:t>
      </w:r>
      <w:r>
        <w:br/>
      </w:r>
      <w:r w:rsidRPr="00A92953">
        <w:t>по комплектовани</w:t>
      </w:r>
      <w:r>
        <w:t>ю дошкольных учреждений: на 01.12</w:t>
      </w:r>
      <w:r w:rsidRPr="00A92953">
        <w:t>.20</w:t>
      </w:r>
      <w:r>
        <w:t>20</w:t>
      </w:r>
      <w:r w:rsidRPr="00A92953">
        <w:t xml:space="preserve"> рассмотрены все заявления льготных категорий </w:t>
      </w:r>
      <w:r>
        <w:t xml:space="preserve">граждан.  Выдано </w:t>
      </w:r>
      <w:r w:rsidRPr="0088755E">
        <w:rPr>
          <w:color w:val="000000"/>
        </w:rPr>
        <w:t xml:space="preserve">более   5 </w:t>
      </w:r>
      <w:r w:rsidRPr="00A92953">
        <w:t>тысяч направлений.</w:t>
      </w:r>
    </w:p>
    <w:p w:rsidR="00A32DA6" w:rsidRDefault="00A32DA6" w:rsidP="002E22ED">
      <w:pPr>
        <w:pStyle w:val="af2"/>
        <w:spacing w:before="0" w:beforeAutospacing="0" w:after="0" w:afterAutospacing="0"/>
        <w:ind w:firstLine="709"/>
        <w:jc w:val="both"/>
        <w:rPr>
          <w:rStyle w:val="aff"/>
        </w:rPr>
      </w:pPr>
    </w:p>
    <w:p w:rsidR="00203C94" w:rsidRDefault="00203C94" w:rsidP="00203C9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 xml:space="preserve">Государство, общество, политика </w:t>
      </w:r>
    </w:p>
    <w:p w:rsidR="00E86AA3" w:rsidRDefault="00E86AA3" w:rsidP="00E86AA3">
      <w:pPr>
        <w:pStyle w:val="af2"/>
        <w:spacing w:before="0" w:beforeAutospacing="0" w:after="0" w:afterAutospacing="0"/>
        <w:ind w:firstLine="709"/>
        <w:jc w:val="both"/>
      </w:pPr>
      <w:r>
        <w:t>В разделе «</w:t>
      </w:r>
      <w:r w:rsidRPr="009F79E6">
        <w:rPr>
          <w:rStyle w:val="aff"/>
        </w:rPr>
        <w:t>Государство, общество, политика</w:t>
      </w:r>
      <w:r>
        <w:t xml:space="preserve">» выделяется подтематика «Основы государственного управления». Раздел «Основы государственного управления» состоит из обращений по вопросам </w:t>
      </w:r>
      <w:r w:rsidR="00234A31">
        <w:t>д</w:t>
      </w:r>
      <w:r w:rsidR="00234A31">
        <w:t>еятельност</w:t>
      </w:r>
      <w:r w:rsidR="00234A31">
        <w:t>и</w:t>
      </w:r>
      <w:r w:rsidR="00234A31">
        <w:t xml:space="preserve"> органов исполнительной власти субъекта Российской Федерации</w:t>
      </w:r>
      <w:r w:rsidR="00234A31">
        <w:t>, п</w:t>
      </w:r>
      <w:r w:rsidR="00234A31">
        <w:t>ринимаемые решения</w:t>
      </w:r>
      <w:r w:rsidR="00234A31">
        <w:t xml:space="preserve"> и </w:t>
      </w:r>
      <w:r>
        <w:t xml:space="preserve">организации личных приемов руководителями администрации (15 вопросов), благодарностей в адрес руководителей администрации </w:t>
      </w:r>
      <w:r w:rsidR="007A24D8">
        <w:br/>
      </w:r>
      <w:r>
        <w:t>и</w:t>
      </w:r>
      <w:r w:rsidR="00204971">
        <w:t xml:space="preserve"> подведомственных организаций (31</w:t>
      </w:r>
      <w:r>
        <w:t>вопрос).</w:t>
      </w:r>
    </w:p>
    <w:p w:rsidR="001455C0" w:rsidRDefault="001455C0" w:rsidP="00E86AA3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49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851"/>
        <w:gridCol w:w="1276"/>
        <w:gridCol w:w="850"/>
        <w:gridCol w:w="851"/>
      </w:tblGrid>
      <w:tr w:rsidR="001455C0" w:rsidRPr="00BE77BF" w:rsidTr="001455C0">
        <w:trPr>
          <w:trHeight w:val="262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Pr="00DD7218" w:rsidRDefault="001455C0" w:rsidP="001455C0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Default="001455C0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C0" w:rsidRPr="00DD7218" w:rsidRDefault="001455C0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C0" w:rsidRPr="00DD7218" w:rsidRDefault="001455C0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C0" w:rsidRPr="00DD7218" w:rsidRDefault="001455C0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</w:tr>
      <w:tr w:rsidR="001455C0" w:rsidRPr="00A4409C" w:rsidTr="001455C0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Pr="00A4409C" w:rsidRDefault="001455C0" w:rsidP="001455C0">
            <w:pPr>
              <w:jc w:val="center"/>
              <w:rPr>
                <w:b/>
              </w:rPr>
            </w:pPr>
            <w:r w:rsidRPr="00A4409C">
              <w:rPr>
                <w:rFonts w:eastAsia="Segoe UI"/>
                <w:b/>
              </w:rPr>
              <w:t>Государство, общество, политика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Pr="00A4409C" w:rsidRDefault="00204971" w:rsidP="001455C0">
            <w:pPr>
              <w:jc w:val="center"/>
              <w:rPr>
                <w:b/>
              </w:rPr>
            </w:pPr>
            <w:r>
              <w:rPr>
                <w:rFonts w:eastAsia="Segoe UI"/>
                <w:b/>
              </w:rPr>
              <w:t>114</w:t>
            </w:r>
          </w:p>
        </w:tc>
        <w:tc>
          <w:tcPr>
            <w:tcW w:w="1276" w:type="dxa"/>
          </w:tcPr>
          <w:p w:rsidR="001455C0" w:rsidRPr="00A4409C" w:rsidRDefault="001455C0" w:rsidP="001455C0">
            <w:pPr>
              <w:jc w:val="center"/>
              <w:rPr>
                <w:b/>
              </w:rPr>
            </w:pPr>
            <w:r w:rsidRPr="00A4409C">
              <w:rPr>
                <w:rFonts w:eastAsia="Segoe UI"/>
                <w:b/>
              </w:rPr>
              <w:t>100%</w:t>
            </w:r>
          </w:p>
        </w:tc>
        <w:tc>
          <w:tcPr>
            <w:tcW w:w="850" w:type="dxa"/>
          </w:tcPr>
          <w:p w:rsidR="001455C0" w:rsidRPr="00A4409C" w:rsidRDefault="001455C0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135</w:t>
            </w:r>
          </w:p>
        </w:tc>
        <w:tc>
          <w:tcPr>
            <w:tcW w:w="851" w:type="dxa"/>
          </w:tcPr>
          <w:p w:rsidR="001455C0" w:rsidRPr="00A4409C" w:rsidRDefault="00204971" w:rsidP="001455C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100%</w:t>
            </w:r>
          </w:p>
        </w:tc>
      </w:tr>
      <w:tr w:rsidR="001455C0" w:rsidRPr="00626CAA" w:rsidTr="001455C0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Pr="00626CAA" w:rsidRDefault="001455C0" w:rsidP="001455C0">
            <w:r w:rsidRPr="00626CAA">
              <w:rPr>
                <w:rFonts w:eastAsia="Segoe UI"/>
              </w:rPr>
              <w:t>Конституционный строй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Pr="00626CAA" w:rsidRDefault="00204971" w:rsidP="001455C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1455C0" w:rsidRPr="00626CAA" w:rsidRDefault="00204971" w:rsidP="001455C0">
            <w:pPr>
              <w:jc w:val="center"/>
            </w:pPr>
            <w:r>
              <w:t>5,9</w:t>
            </w:r>
            <w:r w:rsidR="001455C0">
              <w:t>%</w:t>
            </w:r>
          </w:p>
        </w:tc>
        <w:tc>
          <w:tcPr>
            <w:tcW w:w="850" w:type="dxa"/>
          </w:tcPr>
          <w:p w:rsidR="001455C0" w:rsidRDefault="00204971" w:rsidP="00204971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1455C0" w:rsidRDefault="00204971" w:rsidP="001455C0">
            <w:pPr>
              <w:jc w:val="center"/>
            </w:pPr>
            <w:r>
              <w:t>7,4%</w:t>
            </w:r>
          </w:p>
        </w:tc>
      </w:tr>
      <w:tr w:rsidR="001455C0" w:rsidRPr="00626CAA" w:rsidTr="001455C0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Pr="00626CAA" w:rsidRDefault="001455C0" w:rsidP="001455C0">
            <w:r w:rsidRPr="00626CAA">
              <w:rPr>
                <w:rFonts w:eastAsia="Segoe UI"/>
              </w:rPr>
              <w:t>Основы государственного управления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Pr="00626CAA" w:rsidRDefault="00204971" w:rsidP="001455C0">
            <w:pPr>
              <w:jc w:val="center"/>
            </w:pPr>
            <w:r>
              <w:t>87</w:t>
            </w:r>
          </w:p>
        </w:tc>
        <w:tc>
          <w:tcPr>
            <w:tcW w:w="1276" w:type="dxa"/>
          </w:tcPr>
          <w:p w:rsidR="001455C0" w:rsidRPr="00626CAA" w:rsidRDefault="00204971" w:rsidP="001455C0">
            <w:pPr>
              <w:jc w:val="center"/>
            </w:pPr>
            <w:r>
              <w:t>77,2</w:t>
            </w:r>
            <w:r w:rsidR="001455C0">
              <w:t>%</w:t>
            </w:r>
          </w:p>
        </w:tc>
        <w:tc>
          <w:tcPr>
            <w:tcW w:w="850" w:type="dxa"/>
          </w:tcPr>
          <w:p w:rsidR="001455C0" w:rsidRDefault="00204971" w:rsidP="00204971">
            <w:pPr>
              <w:jc w:val="center"/>
            </w:pPr>
            <w:r>
              <w:t>115</w:t>
            </w:r>
          </w:p>
        </w:tc>
        <w:tc>
          <w:tcPr>
            <w:tcW w:w="851" w:type="dxa"/>
          </w:tcPr>
          <w:p w:rsidR="001455C0" w:rsidRDefault="00204971" w:rsidP="001455C0">
            <w:pPr>
              <w:jc w:val="center"/>
            </w:pPr>
            <w:r>
              <w:t>85,2%</w:t>
            </w:r>
          </w:p>
        </w:tc>
      </w:tr>
      <w:tr w:rsidR="001455C0" w:rsidRPr="00626CAA" w:rsidTr="001455C0">
        <w:trPr>
          <w:trHeight w:val="262"/>
        </w:trPr>
        <w:tc>
          <w:tcPr>
            <w:tcW w:w="56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Pr="00626CAA" w:rsidRDefault="001455C0" w:rsidP="001455C0">
            <w:r w:rsidRPr="00626CAA">
              <w:rPr>
                <w:rFonts w:eastAsia="Segoe UI"/>
              </w:rPr>
              <w:t>Гражданское право</w:t>
            </w:r>
          </w:p>
        </w:tc>
        <w:tc>
          <w:tcPr>
            <w:tcW w:w="8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455C0" w:rsidRPr="00626CAA" w:rsidRDefault="001455C0" w:rsidP="00204971">
            <w:pPr>
              <w:jc w:val="center"/>
            </w:pPr>
            <w:r>
              <w:t>1</w:t>
            </w:r>
            <w:r w:rsidR="00204971">
              <w:t>6</w:t>
            </w:r>
          </w:p>
        </w:tc>
        <w:tc>
          <w:tcPr>
            <w:tcW w:w="1276" w:type="dxa"/>
          </w:tcPr>
          <w:p w:rsidR="001455C0" w:rsidRPr="00626CAA" w:rsidRDefault="001455C0" w:rsidP="00204971">
            <w:pPr>
              <w:jc w:val="center"/>
            </w:pPr>
            <w:r>
              <w:t>1</w:t>
            </w:r>
            <w:r w:rsidR="00204971">
              <w:t>2</w:t>
            </w:r>
            <w:r>
              <w:t>,</w:t>
            </w:r>
            <w:r w:rsidR="00204971">
              <w:t>9</w:t>
            </w:r>
            <w:r>
              <w:t>%</w:t>
            </w:r>
          </w:p>
        </w:tc>
        <w:tc>
          <w:tcPr>
            <w:tcW w:w="850" w:type="dxa"/>
          </w:tcPr>
          <w:p w:rsidR="001455C0" w:rsidRDefault="00204971" w:rsidP="001455C0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1455C0" w:rsidRDefault="00204971" w:rsidP="001455C0">
            <w:pPr>
              <w:jc w:val="center"/>
            </w:pPr>
            <w:r>
              <w:t>3,7%</w:t>
            </w:r>
          </w:p>
        </w:tc>
      </w:tr>
    </w:tbl>
    <w:p w:rsidR="00203C94" w:rsidRDefault="00203C94" w:rsidP="00203C94">
      <w:pPr>
        <w:pStyle w:val="af2"/>
        <w:spacing w:before="0" w:beforeAutospacing="0" w:after="0" w:afterAutospacing="0"/>
        <w:ind w:firstLine="709"/>
        <w:jc w:val="both"/>
      </w:pPr>
    </w:p>
    <w:p w:rsidR="00203C94" w:rsidRDefault="00203C94" w:rsidP="00203C94">
      <w:pPr>
        <w:pStyle w:val="af2"/>
        <w:spacing w:before="0" w:beforeAutospacing="0" w:after="0" w:afterAutospacing="0"/>
        <w:ind w:firstLine="709"/>
        <w:jc w:val="both"/>
        <w:rPr>
          <w:rFonts w:eastAsia="Segoe UI"/>
          <w:b/>
        </w:rPr>
      </w:pPr>
      <w:r w:rsidRPr="00AC37BD">
        <w:rPr>
          <w:rFonts w:eastAsia="Segoe UI"/>
          <w:b/>
        </w:rPr>
        <w:t>Оборона, безопасность, законность</w:t>
      </w:r>
    </w:p>
    <w:p w:rsidR="008D7026" w:rsidRDefault="008D7026" w:rsidP="008D7026">
      <w:pPr>
        <w:pStyle w:val="af2"/>
        <w:spacing w:before="0" w:beforeAutospacing="0" w:after="0" w:afterAutospacing="0"/>
        <w:ind w:firstLine="709"/>
        <w:jc w:val="both"/>
      </w:pPr>
      <w:r>
        <w:t>Количество вопросов по данной тематике незначител</w:t>
      </w:r>
      <w:r w:rsidR="00204971">
        <w:t>ьно увеличилось по сравнению с 4</w:t>
      </w:r>
      <w:r>
        <w:t xml:space="preserve"> кварталом 2019 года (на 2</w:t>
      </w:r>
      <w:r w:rsidR="00204971">
        <w:t>1</w:t>
      </w:r>
      <w:r>
        <w:t>).</w:t>
      </w:r>
    </w:p>
    <w:p w:rsidR="008D7026" w:rsidRDefault="008D7026" w:rsidP="008D7026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941"/>
        <w:gridCol w:w="1094"/>
        <w:gridCol w:w="907"/>
        <w:gridCol w:w="1031"/>
      </w:tblGrid>
      <w:tr w:rsidR="008D7026" w:rsidRPr="00442796" w:rsidTr="007C2B34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DD7218" w:rsidRDefault="008D7026" w:rsidP="007C2B34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Default="008D7026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DD7218" w:rsidRDefault="008D7026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  <w:tc>
          <w:tcPr>
            <w:tcW w:w="907" w:type="dxa"/>
          </w:tcPr>
          <w:p w:rsidR="008D7026" w:rsidRPr="00DD7218" w:rsidRDefault="008D7026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1031" w:type="dxa"/>
          </w:tcPr>
          <w:p w:rsidR="008D7026" w:rsidRPr="00DD7218" w:rsidRDefault="008D7026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</w:tr>
      <w:tr w:rsidR="008D7026" w:rsidRPr="00442796" w:rsidTr="007C2B34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7C2B34">
            <w:pPr>
              <w:jc w:val="center"/>
            </w:pPr>
            <w:r w:rsidRPr="00442796">
              <w:rPr>
                <w:rFonts w:eastAsia="Segoe UI"/>
                <w:b/>
              </w:rPr>
              <w:t>Оборона, безопасность, законность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6D15E7" w:rsidRDefault="00204971" w:rsidP="007C2B34">
            <w:pPr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6D15E7" w:rsidRDefault="008D7026" w:rsidP="007C2B34">
            <w:pPr>
              <w:jc w:val="center"/>
              <w:rPr>
                <w:b/>
              </w:rPr>
            </w:pPr>
            <w:r w:rsidRPr="006D15E7">
              <w:rPr>
                <w:b/>
              </w:rPr>
              <w:t>100%</w:t>
            </w:r>
          </w:p>
        </w:tc>
        <w:tc>
          <w:tcPr>
            <w:tcW w:w="907" w:type="dxa"/>
          </w:tcPr>
          <w:p w:rsidR="008D7026" w:rsidRPr="00442796" w:rsidRDefault="008D7026" w:rsidP="00204971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</w:t>
            </w:r>
            <w:r w:rsidR="00204971">
              <w:rPr>
                <w:rFonts w:eastAsia="Segoe UI"/>
                <w:b/>
              </w:rPr>
              <w:t>90</w:t>
            </w:r>
          </w:p>
        </w:tc>
        <w:tc>
          <w:tcPr>
            <w:tcW w:w="1031" w:type="dxa"/>
          </w:tcPr>
          <w:p w:rsidR="008D7026" w:rsidRPr="00442796" w:rsidRDefault="008D7026" w:rsidP="007C2B34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100%</w:t>
            </w:r>
          </w:p>
        </w:tc>
      </w:tr>
      <w:tr w:rsidR="008D7026" w:rsidRPr="00442796" w:rsidTr="007C2B34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7C2B34">
            <w:r w:rsidRPr="00442796">
              <w:rPr>
                <w:rFonts w:eastAsia="Segoe UI"/>
              </w:rPr>
              <w:t>Оборона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204971" w:rsidP="007C2B34">
            <w:pPr>
              <w:jc w:val="center"/>
            </w:pPr>
            <w:r>
              <w:t>17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204971" w:rsidP="007C2B34">
            <w:pPr>
              <w:jc w:val="center"/>
            </w:pPr>
            <w:r>
              <w:t>6,4</w:t>
            </w:r>
            <w:r w:rsidR="008D7026">
              <w:t>%</w:t>
            </w:r>
          </w:p>
        </w:tc>
        <w:tc>
          <w:tcPr>
            <w:tcW w:w="907" w:type="dxa"/>
          </w:tcPr>
          <w:p w:rsidR="008D7026" w:rsidRPr="00442796" w:rsidRDefault="008D7026" w:rsidP="00204971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</w:t>
            </w:r>
            <w:r w:rsidR="00204971">
              <w:rPr>
                <w:rFonts w:eastAsia="Segoe UI"/>
              </w:rPr>
              <w:t>1</w:t>
            </w:r>
          </w:p>
        </w:tc>
        <w:tc>
          <w:tcPr>
            <w:tcW w:w="1031" w:type="dxa"/>
          </w:tcPr>
          <w:p w:rsidR="008D7026" w:rsidRPr="00442796" w:rsidRDefault="00204971" w:rsidP="007C2B34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5,8</w:t>
            </w:r>
            <w:r w:rsidR="008D7026">
              <w:rPr>
                <w:rFonts w:eastAsia="Segoe UI"/>
              </w:rPr>
              <w:t>%</w:t>
            </w:r>
          </w:p>
        </w:tc>
      </w:tr>
      <w:tr w:rsidR="008D7026" w:rsidRPr="00442796" w:rsidTr="007C2B34">
        <w:trPr>
          <w:trHeight w:val="262"/>
        </w:trPr>
        <w:tc>
          <w:tcPr>
            <w:tcW w:w="5416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7C2B34">
            <w:r w:rsidRPr="00442796">
              <w:rPr>
                <w:rFonts w:eastAsia="Segoe UI"/>
              </w:rPr>
              <w:t>Безопасность и охрана правопорядка</w:t>
            </w:r>
          </w:p>
        </w:tc>
        <w:tc>
          <w:tcPr>
            <w:tcW w:w="941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204971" w:rsidP="00204971">
            <w:pPr>
              <w:jc w:val="center"/>
            </w:pPr>
            <w:r>
              <w:t>187</w:t>
            </w:r>
          </w:p>
        </w:tc>
        <w:tc>
          <w:tcPr>
            <w:tcW w:w="1094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204971" w:rsidP="007C2B34">
            <w:pPr>
              <w:jc w:val="center"/>
            </w:pPr>
            <w:r>
              <w:t>90,1</w:t>
            </w:r>
            <w:r w:rsidR="008D7026">
              <w:t>%</w:t>
            </w:r>
          </w:p>
        </w:tc>
        <w:tc>
          <w:tcPr>
            <w:tcW w:w="907" w:type="dxa"/>
            <w:shd w:val="clear" w:color="auto" w:fill="F2F2F2" w:themeFill="background1" w:themeFillShade="F2"/>
          </w:tcPr>
          <w:p w:rsidR="008D7026" w:rsidRPr="00442796" w:rsidRDefault="00204971" w:rsidP="00204971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173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:rsidR="008D7026" w:rsidRPr="00442796" w:rsidRDefault="00204971" w:rsidP="00204971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91</w:t>
            </w:r>
            <w:r w:rsidR="008D7026">
              <w:rPr>
                <w:rFonts w:eastAsia="Segoe UI"/>
              </w:rPr>
              <w:t>,</w:t>
            </w:r>
            <w:r>
              <w:rPr>
                <w:rFonts w:eastAsia="Segoe UI"/>
              </w:rPr>
              <w:t>1</w:t>
            </w:r>
            <w:r w:rsidR="008D7026">
              <w:rPr>
                <w:rFonts w:eastAsia="Segoe UI"/>
              </w:rPr>
              <w:t>%</w:t>
            </w:r>
          </w:p>
        </w:tc>
      </w:tr>
      <w:tr w:rsidR="008D7026" w:rsidRPr="00442796" w:rsidTr="007C2B34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7C2B34">
            <w:r w:rsidRPr="00442796">
              <w:rPr>
                <w:rFonts w:eastAsia="Segoe UI"/>
              </w:rPr>
              <w:t>Уголовное право. Исполнение наказаний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204971" w:rsidP="00204971">
            <w:pPr>
              <w:jc w:val="center"/>
            </w:pPr>
            <w:r>
              <w:t>2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7C2B34">
            <w:pPr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D7026" w:rsidRPr="00442796" w:rsidRDefault="00204971" w:rsidP="00204971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5</w:t>
            </w:r>
          </w:p>
        </w:tc>
        <w:tc>
          <w:tcPr>
            <w:tcW w:w="1031" w:type="dxa"/>
          </w:tcPr>
          <w:p w:rsidR="008D7026" w:rsidRPr="00442796" w:rsidRDefault="00204971" w:rsidP="007C2B34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2,6</w:t>
            </w:r>
            <w:r w:rsidR="008D7026">
              <w:rPr>
                <w:rFonts w:eastAsia="Segoe UI"/>
              </w:rPr>
              <w:t>%</w:t>
            </w:r>
          </w:p>
        </w:tc>
      </w:tr>
      <w:tr w:rsidR="008D7026" w:rsidRPr="00442796" w:rsidTr="007C2B34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7C2B34">
            <w:r w:rsidRPr="00442796">
              <w:rPr>
                <w:rFonts w:eastAsia="Segoe UI"/>
              </w:rPr>
              <w:t>Прокуратура. Органы юстиции. Адвокатура. Нотариат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204971" w:rsidP="00204971">
            <w:pPr>
              <w:jc w:val="center"/>
            </w:pPr>
            <w:r>
              <w:t>2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204971" w:rsidP="007C2B34">
            <w:pPr>
              <w:jc w:val="center"/>
            </w:pPr>
            <w:r>
              <w:t>1</w:t>
            </w:r>
            <w:r w:rsidR="008D7026">
              <w:t>%</w:t>
            </w:r>
          </w:p>
        </w:tc>
        <w:tc>
          <w:tcPr>
            <w:tcW w:w="907" w:type="dxa"/>
          </w:tcPr>
          <w:p w:rsidR="008D7026" w:rsidRDefault="00204971" w:rsidP="007C2B34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5</w:t>
            </w:r>
          </w:p>
          <w:p w:rsidR="008D7026" w:rsidRPr="006D15E7" w:rsidRDefault="008D7026" w:rsidP="007C2B34">
            <w:pPr>
              <w:rPr>
                <w:rFonts w:eastAsia="Segoe UI"/>
              </w:rPr>
            </w:pPr>
          </w:p>
        </w:tc>
        <w:tc>
          <w:tcPr>
            <w:tcW w:w="1031" w:type="dxa"/>
          </w:tcPr>
          <w:p w:rsidR="008D7026" w:rsidRPr="00442796" w:rsidRDefault="008D7026" w:rsidP="007C2B34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0,6%</w:t>
            </w:r>
          </w:p>
        </w:tc>
      </w:tr>
      <w:tr w:rsidR="008D7026" w:rsidRPr="00442796" w:rsidTr="007C2B34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7C2B34">
            <w:pPr>
              <w:rPr>
                <w:rFonts w:eastAsia="Segoe UI"/>
              </w:rPr>
            </w:pPr>
            <w:r>
              <w:rPr>
                <w:rFonts w:eastAsia="Segoe UI"/>
              </w:rPr>
              <w:t>Правосудие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7C2B34">
            <w:pPr>
              <w:jc w:val="center"/>
            </w:pPr>
            <w:r>
              <w:t>3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204971">
            <w:pPr>
              <w:jc w:val="center"/>
            </w:pPr>
            <w:r>
              <w:t>1,</w:t>
            </w:r>
            <w:r w:rsidR="00204971">
              <w:t>5</w:t>
            </w:r>
            <w:r>
              <w:t>%</w:t>
            </w:r>
          </w:p>
        </w:tc>
        <w:tc>
          <w:tcPr>
            <w:tcW w:w="907" w:type="dxa"/>
          </w:tcPr>
          <w:p w:rsidR="008D7026" w:rsidRPr="00442796" w:rsidRDefault="00204971" w:rsidP="007C2B34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5</w:t>
            </w:r>
          </w:p>
        </w:tc>
        <w:tc>
          <w:tcPr>
            <w:tcW w:w="1031" w:type="dxa"/>
          </w:tcPr>
          <w:p w:rsidR="008D7026" w:rsidRPr="00442796" w:rsidRDefault="008D7026" w:rsidP="007C2B34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2,6%</w:t>
            </w:r>
          </w:p>
        </w:tc>
      </w:tr>
    </w:tbl>
    <w:p w:rsidR="008D7026" w:rsidRDefault="008D7026" w:rsidP="008D7026">
      <w:pPr>
        <w:pStyle w:val="af2"/>
        <w:spacing w:before="0" w:beforeAutospacing="0" w:after="0" w:afterAutospacing="0"/>
        <w:ind w:firstLine="709"/>
        <w:jc w:val="both"/>
      </w:pPr>
    </w:p>
    <w:p w:rsidR="008D7026" w:rsidRDefault="008D7026" w:rsidP="008D7026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>
        <w:t>Основная масса обращений в данном разделе приходится на тематику «</w:t>
      </w:r>
      <w:r w:rsidRPr="00AC37BD">
        <w:rPr>
          <w:rFonts w:eastAsia="Segoe UI"/>
        </w:rPr>
        <w:t>Безопасность и охрана правопорядка</w:t>
      </w:r>
      <w:r>
        <w:rPr>
          <w:rFonts w:eastAsia="Segoe UI"/>
        </w:rPr>
        <w:t>» (</w:t>
      </w:r>
      <w:r w:rsidR="007A24D8">
        <w:rPr>
          <w:rFonts w:eastAsia="Segoe UI"/>
        </w:rPr>
        <w:t>90,1</w:t>
      </w:r>
      <w:r w:rsidRPr="00B04A6D">
        <w:rPr>
          <w:rFonts w:eastAsia="Segoe UI"/>
        </w:rPr>
        <w:t>%</w:t>
      </w:r>
      <w:r>
        <w:rPr>
          <w:rFonts w:eastAsia="Segoe UI"/>
        </w:rPr>
        <w:t>), которая, в свою очередь, выделяет основные подтематики:</w:t>
      </w:r>
    </w:p>
    <w:p w:rsidR="008D7026" w:rsidRDefault="008D7026" w:rsidP="008D7026">
      <w:pPr>
        <w:pStyle w:val="af2"/>
        <w:spacing w:before="0" w:beforeAutospacing="0" w:after="0" w:afterAutospacing="0"/>
        <w:jc w:val="both"/>
      </w:pPr>
      <w:r>
        <w:rPr>
          <w:rFonts w:eastAsia="Segoe UI"/>
        </w:rPr>
        <w:t xml:space="preserve">- </w:t>
      </w:r>
      <w:r w:rsidRPr="00306FF7">
        <w:t>Ответственность за нарушение в сфере торговли (несанкционированная торговля)</w:t>
      </w:r>
      <w:r>
        <w:t xml:space="preserve"> - </w:t>
      </w:r>
      <w:r w:rsidR="007A24D8">
        <w:t>77</w:t>
      </w:r>
    </w:p>
    <w:p w:rsidR="008D7026" w:rsidRDefault="008D7026" w:rsidP="008D7026">
      <w:pPr>
        <w:pStyle w:val="af2"/>
        <w:spacing w:before="0" w:beforeAutospacing="0" w:after="0" w:afterAutospacing="0"/>
        <w:jc w:val="both"/>
      </w:pPr>
      <w:r>
        <w:t xml:space="preserve">- </w:t>
      </w:r>
      <w:r w:rsidRPr="00306FF7">
        <w:t>Нарушение правил парковки автотранспорта, в том числе на внутридворовой территории и вне организованных автостоянок</w:t>
      </w:r>
      <w:r>
        <w:t xml:space="preserve"> – </w:t>
      </w:r>
      <w:r w:rsidR="007A24D8">
        <w:t>34</w:t>
      </w:r>
      <w:r>
        <w:t xml:space="preserve"> </w:t>
      </w:r>
    </w:p>
    <w:p w:rsidR="008D7026" w:rsidRDefault="008D7026" w:rsidP="008D7026">
      <w:pPr>
        <w:pStyle w:val="af2"/>
        <w:spacing w:before="0" w:beforeAutospacing="0" w:after="0" w:afterAutospacing="0"/>
        <w:jc w:val="both"/>
      </w:pPr>
      <w:r>
        <w:t xml:space="preserve">- </w:t>
      </w:r>
      <w:r w:rsidRPr="00306FF7">
        <w:t>Конфликты на бытовой почве</w:t>
      </w:r>
      <w:r>
        <w:t xml:space="preserve"> – </w:t>
      </w:r>
      <w:r w:rsidR="007A24D8">
        <w:t>34</w:t>
      </w:r>
    </w:p>
    <w:p w:rsidR="00596CDD" w:rsidRDefault="00596CDD" w:rsidP="009B594B">
      <w:pPr>
        <w:pStyle w:val="af2"/>
        <w:spacing w:before="0" w:beforeAutospacing="0" w:after="0" w:afterAutospacing="0"/>
        <w:jc w:val="both"/>
      </w:pPr>
    </w:p>
    <w:p w:rsidR="00205346" w:rsidRPr="00205346" w:rsidRDefault="00205346" w:rsidP="00DB12EE">
      <w:pPr>
        <w:widowControl w:val="0"/>
        <w:tabs>
          <w:tab w:val="left" w:pos="0"/>
          <w:tab w:val="left" w:pos="993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Методическая работа</w:t>
      </w:r>
    </w:p>
    <w:p w:rsidR="00DB12EE" w:rsidRDefault="00DB12EE" w:rsidP="007A24D8">
      <w:pPr>
        <w:jc w:val="both"/>
        <w:rPr>
          <w:color w:val="000000"/>
        </w:rPr>
      </w:pPr>
      <w:r>
        <w:rPr>
          <w:color w:val="000000"/>
        </w:rPr>
        <w:t>Е</w:t>
      </w:r>
      <w:r w:rsidRPr="00353370">
        <w:rPr>
          <w:color w:val="000000"/>
        </w:rPr>
        <w:t>жемесячно в администрации</w:t>
      </w:r>
      <w:r w:rsidR="001C72BE">
        <w:rPr>
          <w:color w:val="000000"/>
        </w:rPr>
        <w:t xml:space="preserve"> Калининского района</w:t>
      </w:r>
      <w:r w:rsidRPr="00353370">
        <w:rPr>
          <w:color w:val="000000"/>
        </w:rPr>
        <w:t xml:space="preserve"> проводятся заседания комиссии </w:t>
      </w:r>
      <w:r w:rsidR="007A24D8">
        <w:rPr>
          <w:color w:val="000000"/>
        </w:rPr>
        <w:br/>
      </w:r>
      <w:r w:rsidRPr="00353370">
        <w:rPr>
          <w:color w:val="000000"/>
        </w:rPr>
        <w:t>по</w:t>
      </w:r>
      <w:r w:rsidR="007A24D8" w:rsidRPr="00945358">
        <w:t xml:space="preserve"> контролю за соблюдением</w:t>
      </w:r>
      <w:r w:rsidR="007A24D8">
        <w:t xml:space="preserve">  </w:t>
      </w:r>
      <w:r w:rsidR="007A24D8" w:rsidRPr="00945358">
        <w:t>требований регламента, служебного распорядка</w:t>
      </w:r>
      <w:r w:rsidR="007A24D8">
        <w:t xml:space="preserve"> </w:t>
      </w:r>
      <w:bookmarkStart w:id="0" w:name="_GoBack"/>
      <w:bookmarkEnd w:id="0"/>
      <w:r w:rsidR="007A24D8" w:rsidRPr="00945358">
        <w:t>администрации и укреплению финансовой дисциплины</w:t>
      </w:r>
      <w:r w:rsidRPr="00353370">
        <w:rPr>
          <w:color w:val="000000"/>
        </w:rPr>
        <w:t>, на которых одним из вопросов рассматривается соблюдение сроков рассмотрения обращений граждан и юридических лиц</w:t>
      </w:r>
      <w:r>
        <w:rPr>
          <w:color w:val="000000"/>
        </w:rPr>
        <w:t>, а также их качество. Р</w:t>
      </w:r>
      <w:r w:rsidRPr="00353370">
        <w:rPr>
          <w:color w:val="000000"/>
        </w:rPr>
        <w:t>уководителями структурных подразделений и подведомственных организаций докладывается на аппаратных совещаниях информация о результатах работы с обращениями граждан и юридических лиц за неделю</w:t>
      </w:r>
      <w:r>
        <w:rPr>
          <w:color w:val="000000"/>
        </w:rPr>
        <w:t>.</w:t>
      </w:r>
      <w:r w:rsidR="001C72BE">
        <w:rPr>
          <w:color w:val="000000"/>
        </w:rPr>
        <w:t xml:space="preserve"> Еженедельно главе и заместителям главы направляется информация о работе с обращениями граждан в администрации.</w:t>
      </w:r>
    </w:p>
    <w:p w:rsidR="00DB12EE" w:rsidRDefault="009F79E6" w:rsidP="00233DA8">
      <w:pPr>
        <w:widowControl w:val="0"/>
        <w:ind w:firstLine="709"/>
        <w:jc w:val="both"/>
        <w:rPr>
          <w:bCs/>
        </w:rPr>
      </w:pPr>
      <w:r>
        <w:rPr>
          <w:color w:val="000000"/>
        </w:rPr>
        <w:t xml:space="preserve">Сотрудниками общего отдела администрации Калининского района на регулярной основе </w:t>
      </w:r>
      <w:r w:rsidRPr="00353370">
        <w:rPr>
          <w:color w:val="000000"/>
        </w:rPr>
        <w:t>провод</w:t>
      </w:r>
      <w:r>
        <w:rPr>
          <w:color w:val="000000"/>
        </w:rPr>
        <w:t>и</w:t>
      </w:r>
      <w:r w:rsidRPr="00353370">
        <w:rPr>
          <w:color w:val="000000"/>
        </w:rPr>
        <w:t xml:space="preserve">тся </w:t>
      </w:r>
      <w:r>
        <w:rPr>
          <w:color w:val="000000"/>
        </w:rPr>
        <w:t>методическая работа</w:t>
      </w:r>
      <w:r w:rsidRPr="00353370">
        <w:rPr>
          <w:color w:val="000000"/>
        </w:rPr>
        <w:t xml:space="preserve"> по делопроизводству</w:t>
      </w:r>
      <w:r w:rsidR="00233DA8">
        <w:rPr>
          <w:color w:val="000000"/>
        </w:rPr>
        <w:t xml:space="preserve"> </w:t>
      </w:r>
      <w:r w:rsidRPr="00353370">
        <w:rPr>
          <w:color w:val="000000"/>
        </w:rPr>
        <w:t>с сотрудниками, ответственными за работу с обращениями граждан, делопроизводство</w:t>
      </w:r>
      <w:r w:rsidR="00233DA8">
        <w:rPr>
          <w:color w:val="000000"/>
        </w:rPr>
        <w:t xml:space="preserve"> </w:t>
      </w:r>
      <w:r w:rsidRPr="00353370">
        <w:rPr>
          <w:color w:val="000000"/>
        </w:rPr>
        <w:t xml:space="preserve">и архивное дело в </w:t>
      </w:r>
      <w:r w:rsidRPr="00353370">
        <w:rPr>
          <w:color w:val="000000"/>
        </w:rPr>
        <w:lastRenderedPageBreak/>
        <w:t xml:space="preserve">администрации. </w:t>
      </w:r>
      <w:r>
        <w:rPr>
          <w:color w:val="000000"/>
        </w:rPr>
        <w:t>П</w:t>
      </w:r>
      <w:r w:rsidRPr="00353370">
        <w:rPr>
          <w:color w:val="000000"/>
        </w:rPr>
        <w:t>остоянно обращается внимание на недопустимость нарушения сроков</w:t>
      </w:r>
      <w:r w:rsidR="00233DA8">
        <w:rPr>
          <w:color w:val="000000"/>
        </w:rPr>
        <w:t xml:space="preserve"> </w:t>
      </w:r>
      <w:r w:rsidRPr="00353370">
        <w:rPr>
          <w:color w:val="000000"/>
        </w:rPr>
        <w:t>исполнения документов, на качественное и полное рассмотрение</w:t>
      </w:r>
      <w:r w:rsidR="00233DA8">
        <w:rPr>
          <w:color w:val="000000"/>
        </w:rPr>
        <w:t xml:space="preserve"> </w:t>
      </w:r>
      <w:r w:rsidRPr="00353370">
        <w:rPr>
          <w:color w:val="000000"/>
        </w:rPr>
        <w:t xml:space="preserve">и подготовку ответов на обращения граждан и ведение дополнительного контроля. </w:t>
      </w:r>
    </w:p>
    <w:p w:rsidR="009F79E6" w:rsidRDefault="009F79E6" w:rsidP="009B594B">
      <w:pPr>
        <w:pStyle w:val="af2"/>
        <w:spacing w:before="0" w:beforeAutospacing="0" w:after="0" w:afterAutospacing="0"/>
        <w:jc w:val="both"/>
      </w:pPr>
    </w:p>
    <w:sectPr w:rsidR="009F79E6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9E" w:rsidRDefault="00761D9E" w:rsidP="0093109F">
      <w:r>
        <w:separator/>
      </w:r>
    </w:p>
  </w:endnote>
  <w:endnote w:type="continuationSeparator" w:id="0">
    <w:p w:rsidR="00761D9E" w:rsidRDefault="00761D9E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9E" w:rsidRDefault="00761D9E" w:rsidP="0093109F">
      <w:r>
        <w:separator/>
      </w:r>
    </w:p>
  </w:footnote>
  <w:footnote w:type="continuationSeparator" w:id="0">
    <w:p w:rsidR="00761D9E" w:rsidRDefault="00761D9E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D6C"/>
    <w:multiLevelType w:val="hybridMultilevel"/>
    <w:tmpl w:val="4C860AC8"/>
    <w:lvl w:ilvl="0" w:tplc="0A3CE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E2A2283"/>
    <w:multiLevelType w:val="hybridMultilevel"/>
    <w:tmpl w:val="52C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9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EA716C"/>
    <w:multiLevelType w:val="hybridMultilevel"/>
    <w:tmpl w:val="FE3E51B4"/>
    <w:lvl w:ilvl="0" w:tplc="A85C5266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266B7"/>
    <w:multiLevelType w:val="hybridMultilevel"/>
    <w:tmpl w:val="A30A6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0B44D3"/>
    <w:multiLevelType w:val="hybridMultilevel"/>
    <w:tmpl w:val="B2CEF4E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9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34"/>
  </w:num>
  <w:num w:numId="4">
    <w:abstractNumId w:val="37"/>
  </w:num>
  <w:num w:numId="5">
    <w:abstractNumId w:val="7"/>
  </w:num>
  <w:num w:numId="6">
    <w:abstractNumId w:val="14"/>
  </w:num>
  <w:num w:numId="7">
    <w:abstractNumId w:val="23"/>
  </w:num>
  <w:num w:numId="8">
    <w:abstractNumId w:val="29"/>
  </w:num>
  <w:num w:numId="9">
    <w:abstractNumId w:val="16"/>
  </w:num>
  <w:num w:numId="10">
    <w:abstractNumId w:val="27"/>
  </w:num>
  <w:num w:numId="11">
    <w:abstractNumId w:val="31"/>
  </w:num>
  <w:num w:numId="12">
    <w:abstractNumId w:val="17"/>
  </w:num>
  <w:num w:numId="13">
    <w:abstractNumId w:val="22"/>
  </w:num>
  <w:num w:numId="14">
    <w:abstractNumId w:val="12"/>
  </w:num>
  <w:num w:numId="15">
    <w:abstractNumId w:val="28"/>
  </w:num>
  <w:num w:numId="16">
    <w:abstractNumId w:val="8"/>
  </w:num>
  <w:num w:numId="17">
    <w:abstractNumId w:val="30"/>
  </w:num>
  <w:num w:numId="18">
    <w:abstractNumId w:val="4"/>
  </w:num>
  <w:num w:numId="19">
    <w:abstractNumId w:val="10"/>
  </w:num>
  <w:num w:numId="20">
    <w:abstractNumId w:val="3"/>
  </w:num>
  <w:num w:numId="21">
    <w:abstractNumId w:val="35"/>
  </w:num>
  <w:num w:numId="22">
    <w:abstractNumId w:val="21"/>
  </w:num>
  <w:num w:numId="23">
    <w:abstractNumId w:val="26"/>
  </w:num>
  <w:num w:numId="24">
    <w:abstractNumId w:val="20"/>
  </w:num>
  <w:num w:numId="25">
    <w:abstractNumId w:val="19"/>
  </w:num>
  <w:num w:numId="26">
    <w:abstractNumId w:val="1"/>
  </w:num>
  <w:num w:numId="27">
    <w:abstractNumId w:val="33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9"/>
  </w:num>
  <w:num w:numId="31">
    <w:abstractNumId w:val="2"/>
  </w:num>
  <w:num w:numId="32">
    <w:abstractNumId w:val="15"/>
  </w:num>
  <w:num w:numId="33">
    <w:abstractNumId w:val="6"/>
  </w:num>
  <w:num w:numId="34">
    <w:abstractNumId w:val="0"/>
  </w:num>
  <w:num w:numId="35">
    <w:abstractNumId w:val="11"/>
  </w:num>
  <w:num w:numId="36">
    <w:abstractNumId w:val="5"/>
  </w:num>
  <w:num w:numId="37">
    <w:abstractNumId w:val="25"/>
  </w:num>
  <w:num w:numId="38">
    <w:abstractNumId w:val="1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0A93"/>
    <w:rsid w:val="000013B6"/>
    <w:rsid w:val="00002008"/>
    <w:rsid w:val="00002C95"/>
    <w:rsid w:val="00005346"/>
    <w:rsid w:val="00012670"/>
    <w:rsid w:val="00016451"/>
    <w:rsid w:val="000165D7"/>
    <w:rsid w:val="00017179"/>
    <w:rsid w:val="00017807"/>
    <w:rsid w:val="00017CE2"/>
    <w:rsid w:val="000209BF"/>
    <w:rsid w:val="00022858"/>
    <w:rsid w:val="00023035"/>
    <w:rsid w:val="000253EE"/>
    <w:rsid w:val="00030B18"/>
    <w:rsid w:val="0003200A"/>
    <w:rsid w:val="000356A3"/>
    <w:rsid w:val="00036BCC"/>
    <w:rsid w:val="000427DD"/>
    <w:rsid w:val="00043552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4B03"/>
    <w:rsid w:val="000751D3"/>
    <w:rsid w:val="0007642D"/>
    <w:rsid w:val="00076C36"/>
    <w:rsid w:val="000834E8"/>
    <w:rsid w:val="0008352D"/>
    <w:rsid w:val="00083F3C"/>
    <w:rsid w:val="0008669F"/>
    <w:rsid w:val="000866FD"/>
    <w:rsid w:val="00091A0F"/>
    <w:rsid w:val="00091A2B"/>
    <w:rsid w:val="00091F13"/>
    <w:rsid w:val="000925B5"/>
    <w:rsid w:val="00092EF0"/>
    <w:rsid w:val="00095FBE"/>
    <w:rsid w:val="000A089E"/>
    <w:rsid w:val="000A17B5"/>
    <w:rsid w:val="000A1E28"/>
    <w:rsid w:val="000A3C3B"/>
    <w:rsid w:val="000A7811"/>
    <w:rsid w:val="000B3BBC"/>
    <w:rsid w:val="000B54B8"/>
    <w:rsid w:val="000B585D"/>
    <w:rsid w:val="000B5A63"/>
    <w:rsid w:val="000B7E5D"/>
    <w:rsid w:val="000C6FAE"/>
    <w:rsid w:val="000C7D08"/>
    <w:rsid w:val="000D179C"/>
    <w:rsid w:val="000D2438"/>
    <w:rsid w:val="000D2F52"/>
    <w:rsid w:val="000D7A4B"/>
    <w:rsid w:val="000D7B93"/>
    <w:rsid w:val="000E0095"/>
    <w:rsid w:val="000E0262"/>
    <w:rsid w:val="000E061E"/>
    <w:rsid w:val="000E1D3A"/>
    <w:rsid w:val="000E3274"/>
    <w:rsid w:val="000E3D7E"/>
    <w:rsid w:val="000E4EBC"/>
    <w:rsid w:val="000F4385"/>
    <w:rsid w:val="000F4927"/>
    <w:rsid w:val="000F4F47"/>
    <w:rsid w:val="000F518D"/>
    <w:rsid w:val="000F768A"/>
    <w:rsid w:val="00100109"/>
    <w:rsid w:val="001001D1"/>
    <w:rsid w:val="001059C9"/>
    <w:rsid w:val="00115AEC"/>
    <w:rsid w:val="001160A3"/>
    <w:rsid w:val="001170C6"/>
    <w:rsid w:val="00121342"/>
    <w:rsid w:val="00121F42"/>
    <w:rsid w:val="00122354"/>
    <w:rsid w:val="001253F5"/>
    <w:rsid w:val="001254E9"/>
    <w:rsid w:val="00131135"/>
    <w:rsid w:val="0013142A"/>
    <w:rsid w:val="00131958"/>
    <w:rsid w:val="00131FD4"/>
    <w:rsid w:val="00136178"/>
    <w:rsid w:val="001375C4"/>
    <w:rsid w:val="0014031B"/>
    <w:rsid w:val="001451F2"/>
    <w:rsid w:val="001455C0"/>
    <w:rsid w:val="0015099E"/>
    <w:rsid w:val="001645B8"/>
    <w:rsid w:val="0016521A"/>
    <w:rsid w:val="00167FCD"/>
    <w:rsid w:val="00170582"/>
    <w:rsid w:val="001727FF"/>
    <w:rsid w:val="001729C3"/>
    <w:rsid w:val="00175008"/>
    <w:rsid w:val="00177701"/>
    <w:rsid w:val="00177938"/>
    <w:rsid w:val="001818E7"/>
    <w:rsid w:val="00183372"/>
    <w:rsid w:val="00192919"/>
    <w:rsid w:val="001936A7"/>
    <w:rsid w:val="001954D0"/>
    <w:rsid w:val="0019585C"/>
    <w:rsid w:val="001A089B"/>
    <w:rsid w:val="001A17A6"/>
    <w:rsid w:val="001A300B"/>
    <w:rsid w:val="001A352D"/>
    <w:rsid w:val="001A4B3D"/>
    <w:rsid w:val="001A5057"/>
    <w:rsid w:val="001A552A"/>
    <w:rsid w:val="001B229C"/>
    <w:rsid w:val="001B2F76"/>
    <w:rsid w:val="001B4FEB"/>
    <w:rsid w:val="001B67ED"/>
    <w:rsid w:val="001B6A24"/>
    <w:rsid w:val="001B6FB4"/>
    <w:rsid w:val="001C0223"/>
    <w:rsid w:val="001C1B32"/>
    <w:rsid w:val="001C2E33"/>
    <w:rsid w:val="001C3351"/>
    <w:rsid w:val="001C3858"/>
    <w:rsid w:val="001C4F1C"/>
    <w:rsid w:val="001C6B9D"/>
    <w:rsid w:val="001C72BE"/>
    <w:rsid w:val="001D089E"/>
    <w:rsid w:val="001D3173"/>
    <w:rsid w:val="001D7F8F"/>
    <w:rsid w:val="001E062A"/>
    <w:rsid w:val="001E3EFD"/>
    <w:rsid w:val="001E5DC2"/>
    <w:rsid w:val="001E6E1E"/>
    <w:rsid w:val="001F36CF"/>
    <w:rsid w:val="001F5204"/>
    <w:rsid w:val="0020064C"/>
    <w:rsid w:val="00203C94"/>
    <w:rsid w:val="00203D3A"/>
    <w:rsid w:val="00204484"/>
    <w:rsid w:val="00204971"/>
    <w:rsid w:val="00205346"/>
    <w:rsid w:val="00210562"/>
    <w:rsid w:val="002126AE"/>
    <w:rsid w:val="00212BED"/>
    <w:rsid w:val="00217899"/>
    <w:rsid w:val="00221215"/>
    <w:rsid w:val="002227F9"/>
    <w:rsid w:val="0022525E"/>
    <w:rsid w:val="00227FD9"/>
    <w:rsid w:val="002327F7"/>
    <w:rsid w:val="00233DA8"/>
    <w:rsid w:val="00233EE9"/>
    <w:rsid w:val="00234A31"/>
    <w:rsid w:val="00234D6C"/>
    <w:rsid w:val="00234E8C"/>
    <w:rsid w:val="002353D3"/>
    <w:rsid w:val="00235C73"/>
    <w:rsid w:val="002408C8"/>
    <w:rsid w:val="00242D2F"/>
    <w:rsid w:val="00243D89"/>
    <w:rsid w:val="00244131"/>
    <w:rsid w:val="0024533C"/>
    <w:rsid w:val="002468CD"/>
    <w:rsid w:val="002476E0"/>
    <w:rsid w:val="00251407"/>
    <w:rsid w:val="00254745"/>
    <w:rsid w:val="0025494F"/>
    <w:rsid w:val="00255F5E"/>
    <w:rsid w:val="00262884"/>
    <w:rsid w:val="0026456F"/>
    <w:rsid w:val="00264E17"/>
    <w:rsid w:val="00266CB6"/>
    <w:rsid w:val="0027059A"/>
    <w:rsid w:val="00272FA9"/>
    <w:rsid w:val="0027618C"/>
    <w:rsid w:val="0027703D"/>
    <w:rsid w:val="0027717B"/>
    <w:rsid w:val="00277CD9"/>
    <w:rsid w:val="002842E1"/>
    <w:rsid w:val="0028577A"/>
    <w:rsid w:val="00285D0D"/>
    <w:rsid w:val="00286666"/>
    <w:rsid w:val="00286E96"/>
    <w:rsid w:val="002901EC"/>
    <w:rsid w:val="00290E1A"/>
    <w:rsid w:val="002926F5"/>
    <w:rsid w:val="002951EF"/>
    <w:rsid w:val="002977DB"/>
    <w:rsid w:val="00297A37"/>
    <w:rsid w:val="002A6756"/>
    <w:rsid w:val="002C2ED0"/>
    <w:rsid w:val="002C331E"/>
    <w:rsid w:val="002C4503"/>
    <w:rsid w:val="002C699C"/>
    <w:rsid w:val="002D632F"/>
    <w:rsid w:val="002D6857"/>
    <w:rsid w:val="002E107D"/>
    <w:rsid w:val="002E169B"/>
    <w:rsid w:val="002E22ED"/>
    <w:rsid w:val="002E308F"/>
    <w:rsid w:val="002E722B"/>
    <w:rsid w:val="002F1F2E"/>
    <w:rsid w:val="002F2BE3"/>
    <w:rsid w:val="002F5967"/>
    <w:rsid w:val="00301BCF"/>
    <w:rsid w:val="00306BA7"/>
    <w:rsid w:val="003070C1"/>
    <w:rsid w:val="00316561"/>
    <w:rsid w:val="003167EF"/>
    <w:rsid w:val="00320058"/>
    <w:rsid w:val="003201FB"/>
    <w:rsid w:val="00323887"/>
    <w:rsid w:val="00326D71"/>
    <w:rsid w:val="00331AA6"/>
    <w:rsid w:val="00333B57"/>
    <w:rsid w:val="00335F41"/>
    <w:rsid w:val="0033699B"/>
    <w:rsid w:val="00336FA0"/>
    <w:rsid w:val="00340236"/>
    <w:rsid w:val="00343662"/>
    <w:rsid w:val="00353370"/>
    <w:rsid w:val="003554F6"/>
    <w:rsid w:val="0036163F"/>
    <w:rsid w:val="00366E3A"/>
    <w:rsid w:val="00367A04"/>
    <w:rsid w:val="00370236"/>
    <w:rsid w:val="00372421"/>
    <w:rsid w:val="003727A5"/>
    <w:rsid w:val="00372A8B"/>
    <w:rsid w:val="00374163"/>
    <w:rsid w:val="00385803"/>
    <w:rsid w:val="003878CA"/>
    <w:rsid w:val="003909EC"/>
    <w:rsid w:val="00391595"/>
    <w:rsid w:val="003926FC"/>
    <w:rsid w:val="00392754"/>
    <w:rsid w:val="003951A7"/>
    <w:rsid w:val="00395284"/>
    <w:rsid w:val="003A30C7"/>
    <w:rsid w:val="003A3617"/>
    <w:rsid w:val="003B28E8"/>
    <w:rsid w:val="003B2C7B"/>
    <w:rsid w:val="003B41A5"/>
    <w:rsid w:val="003B4CDB"/>
    <w:rsid w:val="003C7228"/>
    <w:rsid w:val="003C7B15"/>
    <w:rsid w:val="003D3344"/>
    <w:rsid w:val="003E2A57"/>
    <w:rsid w:val="003E3560"/>
    <w:rsid w:val="003E3C5C"/>
    <w:rsid w:val="003E5736"/>
    <w:rsid w:val="003E5F4A"/>
    <w:rsid w:val="003F2EE9"/>
    <w:rsid w:val="003F4830"/>
    <w:rsid w:val="00403357"/>
    <w:rsid w:val="004033FD"/>
    <w:rsid w:val="0040674E"/>
    <w:rsid w:val="0041265A"/>
    <w:rsid w:val="00413917"/>
    <w:rsid w:val="004157BF"/>
    <w:rsid w:val="00416D7F"/>
    <w:rsid w:val="00417E19"/>
    <w:rsid w:val="00422406"/>
    <w:rsid w:val="00422633"/>
    <w:rsid w:val="00426F13"/>
    <w:rsid w:val="00427ECE"/>
    <w:rsid w:val="00432B3A"/>
    <w:rsid w:val="00434E3C"/>
    <w:rsid w:val="004451B2"/>
    <w:rsid w:val="00447148"/>
    <w:rsid w:val="0045024F"/>
    <w:rsid w:val="00451517"/>
    <w:rsid w:val="00451DCF"/>
    <w:rsid w:val="004523DC"/>
    <w:rsid w:val="00457383"/>
    <w:rsid w:val="0046280C"/>
    <w:rsid w:val="004632F5"/>
    <w:rsid w:val="004637B8"/>
    <w:rsid w:val="00464015"/>
    <w:rsid w:val="00464943"/>
    <w:rsid w:val="00466314"/>
    <w:rsid w:val="004665C6"/>
    <w:rsid w:val="00467C2D"/>
    <w:rsid w:val="00471C67"/>
    <w:rsid w:val="00481556"/>
    <w:rsid w:val="00483C10"/>
    <w:rsid w:val="00485BE9"/>
    <w:rsid w:val="004929F0"/>
    <w:rsid w:val="00493495"/>
    <w:rsid w:val="00493F29"/>
    <w:rsid w:val="00494790"/>
    <w:rsid w:val="0049592C"/>
    <w:rsid w:val="004A1FA3"/>
    <w:rsid w:val="004A238D"/>
    <w:rsid w:val="004B054E"/>
    <w:rsid w:val="004B5B16"/>
    <w:rsid w:val="004C059D"/>
    <w:rsid w:val="004C1216"/>
    <w:rsid w:val="004C1F89"/>
    <w:rsid w:val="004C2F9F"/>
    <w:rsid w:val="004D0511"/>
    <w:rsid w:val="004D0799"/>
    <w:rsid w:val="004D1179"/>
    <w:rsid w:val="004D28FB"/>
    <w:rsid w:val="004D3E6C"/>
    <w:rsid w:val="004E1163"/>
    <w:rsid w:val="004E3831"/>
    <w:rsid w:val="004E537C"/>
    <w:rsid w:val="004F2495"/>
    <w:rsid w:val="004F6B98"/>
    <w:rsid w:val="005039DE"/>
    <w:rsid w:val="0050574C"/>
    <w:rsid w:val="0051603B"/>
    <w:rsid w:val="00522E5C"/>
    <w:rsid w:val="005234A8"/>
    <w:rsid w:val="005239E8"/>
    <w:rsid w:val="00524288"/>
    <w:rsid w:val="005318E9"/>
    <w:rsid w:val="00532DE2"/>
    <w:rsid w:val="005356AF"/>
    <w:rsid w:val="0054216F"/>
    <w:rsid w:val="005453B5"/>
    <w:rsid w:val="00546EB0"/>
    <w:rsid w:val="00546EB6"/>
    <w:rsid w:val="00551FBC"/>
    <w:rsid w:val="00552D05"/>
    <w:rsid w:val="005561ED"/>
    <w:rsid w:val="0055641F"/>
    <w:rsid w:val="0056680F"/>
    <w:rsid w:val="00566C4E"/>
    <w:rsid w:val="005670F7"/>
    <w:rsid w:val="00570B74"/>
    <w:rsid w:val="00572802"/>
    <w:rsid w:val="00576367"/>
    <w:rsid w:val="00583914"/>
    <w:rsid w:val="00594E95"/>
    <w:rsid w:val="00595680"/>
    <w:rsid w:val="00596333"/>
    <w:rsid w:val="00596CDD"/>
    <w:rsid w:val="005A0992"/>
    <w:rsid w:val="005A1743"/>
    <w:rsid w:val="005A6904"/>
    <w:rsid w:val="005A73F8"/>
    <w:rsid w:val="005B33D4"/>
    <w:rsid w:val="005B3DA1"/>
    <w:rsid w:val="005B6338"/>
    <w:rsid w:val="005B68C4"/>
    <w:rsid w:val="005B78E5"/>
    <w:rsid w:val="005B7C7B"/>
    <w:rsid w:val="005C4535"/>
    <w:rsid w:val="005C4918"/>
    <w:rsid w:val="005C6C55"/>
    <w:rsid w:val="005C6F85"/>
    <w:rsid w:val="005D1629"/>
    <w:rsid w:val="005D1FDA"/>
    <w:rsid w:val="005D2100"/>
    <w:rsid w:val="005D2849"/>
    <w:rsid w:val="005D4B96"/>
    <w:rsid w:val="005D6166"/>
    <w:rsid w:val="005D6870"/>
    <w:rsid w:val="005E10FB"/>
    <w:rsid w:val="005E631B"/>
    <w:rsid w:val="005F08FB"/>
    <w:rsid w:val="005F16FC"/>
    <w:rsid w:val="005F447F"/>
    <w:rsid w:val="005F449D"/>
    <w:rsid w:val="00600483"/>
    <w:rsid w:val="00602BD9"/>
    <w:rsid w:val="006031F4"/>
    <w:rsid w:val="006124B5"/>
    <w:rsid w:val="00617805"/>
    <w:rsid w:val="00620C6C"/>
    <w:rsid w:val="00621434"/>
    <w:rsid w:val="00622FCC"/>
    <w:rsid w:val="006232AC"/>
    <w:rsid w:val="00625427"/>
    <w:rsid w:val="00627BEE"/>
    <w:rsid w:val="00631FA3"/>
    <w:rsid w:val="00634121"/>
    <w:rsid w:val="0063466A"/>
    <w:rsid w:val="006370A8"/>
    <w:rsid w:val="0063747E"/>
    <w:rsid w:val="00637805"/>
    <w:rsid w:val="00650857"/>
    <w:rsid w:val="00650C00"/>
    <w:rsid w:val="00653437"/>
    <w:rsid w:val="00653B91"/>
    <w:rsid w:val="00654672"/>
    <w:rsid w:val="00654926"/>
    <w:rsid w:val="00656A6A"/>
    <w:rsid w:val="00664A9F"/>
    <w:rsid w:val="00664E04"/>
    <w:rsid w:val="00665F59"/>
    <w:rsid w:val="006714EC"/>
    <w:rsid w:val="0067616A"/>
    <w:rsid w:val="006776ED"/>
    <w:rsid w:val="00677D53"/>
    <w:rsid w:val="00680F78"/>
    <w:rsid w:val="006824FC"/>
    <w:rsid w:val="00684089"/>
    <w:rsid w:val="00684BD3"/>
    <w:rsid w:val="006870D0"/>
    <w:rsid w:val="00687293"/>
    <w:rsid w:val="006900AF"/>
    <w:rsid w:val="006927F2"/>
    <w:rsid w:val="00693995"/>
    <w:rsid w:val="006947AC"/>
    <w:rsid w:val="006979E3"/>
    <w:rsid w:val="006A3780"/>
    <w:rsid w:val="006A6F36"/>
    <w:rsid w:val="006B03D7"/>
    <w:rsid w:val="006B097B"/>
    <w:rsid w:val="006B2D0B"/>
    <w:rsid w:val="006B350C"/>
    <w:rsid w:val="006B406B"/>
    <w:rsid w:val="006C3429"/>
    <w:rsid w:val="006C3E93"/>
    <w:rsid w:val="006C7519"/>
    <w:rsid w:val="006D1410"/>
    <w:rsid w:val="006D4D0D"/>
    <w:rsid w:val="006D74E3"/>
    <w:rsid w:val="006E1D11"/>
    <w:rsid w:val="006E2BB1"/>
    <w:rsid w:val="006E31A7"/>
    <w:rsid w:val="006F0262"/>
    <w:rsid w:val="006F1FD0"/>
    <w:rsid w:val="006F2607"/>
    <w:rsid w:val="00701B5B"/>
    <w:rsid w:val="007025DB"/>
    <w:rsid w:val="007047FA"/>
    <w:rsid w:val="00705228"/>
    <w:rsid w:val="00712213"/>
    <w:rsid w:val="007202C8"/>
    <w:rsid w:val="00720C99"/>
    <w:rsid w:val="00724A6A"/>
    <w:rsid w:val="00725823"/>
    <w:rsid w:val="00725E8D"/>
    <w:rsid w:val="007274C4"/>
    <w:rsid w:val="00730309"/>
    <w:rsid w:val="00730D28"/>
    <w:rsid w:val="00732A74"/>
    <w:rsid w:val="007448E6"/>
    <w:rsid w:val="007468BD"/>
    <w:rsid w:val="00746C85"/>
    <w:rsid w:val="00746D48"/>
    <w:rsid w:val="00751724"/>
    <w:rsid w:val="00751BFC"/>
    <w:rsid w:val="00753A04"/>
    <w:rsid w:val="00754EA5"/>
    <w:rsid w:val="007556F3"/>
    <w:rsid w:val="00757223"/>
    <w:rsid w:val="00761BEE"/>
    <w:rsid w:val="00761D9E"/>
    <w:rsid w:val="007659A9"/>
    <w:rsid w:val="00774FC9"/>
    <w:rsid w:val="007755C8"/>
    <w:rsid w:val="00775C3D"/>
    <w:rsid w:val="00775E65"/>
    <w:rsid w:val="00776529"/>
    <w:rsid w:val="00782416"/>
    <w:rsid w:val="0078262F"/>
    <w:rsid w:val="00783B36"/>
    <w:rsid w:val="0078690F"/>
    <w:rsid w:val="00786AB6"/>
    <w:rsid w:val="00786FF9"/>
    <w:rsid w:val="00787967"/>
    <w:rsid w:val="00787FCC"/>
    <w:rsid w:val="007917D0"/>
    <w:rsid w:val="00792B92"/>
    <w:rsid w:val="00792D1E"/>
    <w:rsid w:val="00793A20"/>
    <w:rsid w:val="007A13EE"/>
    <w:rsid w:val="007A1812"/>
    <w:rsid w:val="007A1E7B"/>
    <w:rsid w:val="007A24D8"/>
    <w:rsid w:val="007A2B14"/>
    <w:rsid w:val="007A32A4"/>
    <w:rsid w:val="007A5EE7"/>
    <w:rsid w:val="007A7E70"/>
    <w:rsid w:val="007B0EB7"/>
    <w:rsid w:val="007B3EDC"/>
    <w:rsid w:val="007B3FC1"/>
    <w:rsid w:val="007C0BB6"/>
    <w:rsid w:val="007C1CDB"/>
    <w:rsid w:val="007C2B34"/>
    <w:rsid w:val="007C2E0B"/>
    <w:rsid w:val="007C43BC"/>
    <w:rsid w:val="007C59C6"/>
    <w:rsid w:val="007D0331"/>
    <w:rsid w:val="007D20C8"/>
    <w:rsid w:val="007D6890"/>
    <w:rsid w:val="007E1609"/>
    <w:rsid w:val="007E199A"/>
    <w:rsid w:val="007E312E"/>
    <w:rsid w:val="007E6AA7"/>
    <w:rsid w:val="007F0D4E"/>
    <w:rsid w:val="007F22EA"/>
    <w:rsid w:val="007F33AC"/>
    <w:rsid w:val="007F3575"/>
    <w:rsid w:val="007F35C4"/>
    <w:rsid w:val="007F464A"/>
    <w:rsid w:val="007F6182"/>
    <w:rsid w:val="007F69E7"/>
    <w:rsid w:val="00803C0C"/>
    <w:rsid w:val="00804063"/>
    <w:rsid w:val="0081030B"/>
    <w:rsid w:val="00812887"/>
    <w:rsid w:val="00814180"/>
    <w:rsid w:val="00814538"/>
    <w:rsid w:val="008150E6"/>
    <w:rsid w:val="00823041"/>
    <w:rsid w:val="00823314"/>
    <w:rsid w:val="0082417A"/>
    <w:rsid w:val="00826553"/>
    <w:rsid w:val="0082773B"/>
    <w:rsid w:val="008306A0"/>
    <w:rsid w:val="008309FB"/>
    <w:rsid w:val="00835A32"/>
    <w:rsid w:val="00840F50"/>
    <w:rsid w:val="00841FD4"/>
    <w:rsid w:val="008433B9"/>
    <w:rsid w:val="00846FC8"/>
    <w:rsid w:val="00847A26"/>
    <w:rsid w:val="00847FF4"/>
    <w:rsid w:val="00850539"/>
    <w:rsid w:val="0085190A"/>
    <w:rsid w:val="0085252A"/>
    <w:rsid w:val="008545DC"/>
    <w:rsid w:val="0085522F"/>
    <w:rsid w:val="00856639"/>
    <w:rsid w:val="00857C6B"/>
    <w:rsid w:val="008601FE"/>
    <w:rsid w:val="00861BC9"/>
    <w:rsid w:val="00862D62"/>
    <w:rsid w:val="00863043"/>
    <w:rsid w:val="00863339"/>
    <w:rsid w:val="00865382"/>
    <w:rsid w:val="00867D0A"/>
    <w:rsid w:val="00873C74"/>
    <w:rsid w:val="00877EFE"/>
    <w:rsid w:val="00880476"/>
    <w:rsid w:val="0088373F"/>
    <w:rsid w:val="00887753"/>
    <w:rsid w:val="00891254"/>
    <w:rsid w:val="00892A39"/>
    <w:rsid w:val="00896AF8"/>
    <w:rsid w:val="008971D5"/>
    <w:rsid w:val="0089722D"/>
    <w:rsid w:val="0089797F"/>
    <w:rsid w:val="008A0944"/>
    <w:rsid w:val="008A133C"/>
    <w:rsid w:val="008A4861"/>
    <w:rsid w:val="008A727F"/>
    <w:rsid w:val="008B0135"/>
    <w:rsid w:val="008B23D7"/>
    <w:rsid w:val="008B2F0C"/>
    <w:rsid w:val="008C24A1"/>
    <w:rsid w:val="008D7026"/>
    <w:rsid w:val="008D796B"/>
    <w:rsid w:val="008D79E1"/>
    <w:rsid w:val="008E20CC"/>
    <w:rsid w:val="008E5835"/>
    <w:rsid w:val="008E608C"/>
    <w:rsid w:val="008E7663"/>
    <w:rsid w:val="008F1883"/>
    <w:rsid w:val="008F210F"/>
    <w:rsid w:val="008F3505"/>
    <w:rsid w:val="008F3FDB"/>
    <w:rsid w:val="008F646B"/>
    <w:rsid w:val="00901EA1"/>
    <w:rsid w:val="009146AF"/>
    <w:rsid w:val="00914CA1"/>
    <w:rsid w:val="00915FD5"/>
    <w:rsid w:val="00916602"/>
    <w:rsid w:val="00920EA1"/>
    <w:rsid w:val="0092358B"/>
    <w:rsid w:val="00923826"/>
    <w:rsid w:val="00924212"/>
    <w:rsid w:val="00924CC5"/>
    <w:rsid w:val="0093051D"/>
    <w:rsid w:val="0093109F"/>
    <w:rsid w:val="0093134D"/>
    <w:rsid w:val="00931418"/>
    <w:rsid w:val="009332F7"/>
    <w:rsid w:val="009365D5"/>
    <w:rsid w:val="009418C5"/>
    <w:rsid w:val="0094324E"/>
    <w:rsid w:val="009439A1"/>
    <w:rsid w:val="00945CD1"/>
    <w:rsid w:val="00954636"/>
    <w:rsid w:val="00956F57"/>
    <w:rsid w:val="00961B65"/>
    <w:rsid w:val="009627DB"/>
    <w:rsid w:val="009628BB"/>
    <w:rsid w:val="00962E51"/>
    <w:rsid w:val="009643C8"/>
    <w:rsid w:val="00964C89"/>
    <w:rsid w:val="00964F94"/>
    <w:rsid w:val="0096600A"/>
    <w:rsid w:val="00973CF2"/>
    <w:rsid w:val="009756AF"/>
    <w:rsid w:val="00980F5E"/>
    <w:rsid w:val="00981A0B"/>
    <w:rsid w:val="009841F3"/>
    <w:rsid w:val="00987ADA"/>
    <w:rsid w:val="00995633"/>
    <w:rsid w:val="00996232"/>
    <w:rsid w:val="009976AD"/>
    <w:rsid w:val="009A09BA"/>
    <w:rsid w:val="009A2BE5"/>
    <w:rsid w:val="009A5598"/>
    <w:rsid w:val="009B4AEF"/>
    <w:rsid w:val="009B5052"/>
    <w:rsid w:val="009B594B"/>
    <w:rsid w:val="009C00D9"/>
    <w:rsid w:val="009C1F01"/>
    <w:rsid w:val="009C22C0"/>
    <w:rsid w:val="009C429D"/>
    <w:rsid w:val="009C6827"/>
    <w:rsid w:val="009D205D"/>
    <w:rsid w:val="009D6E25"/>
    <w:rsid w:val="009E002C"/>
    <w:rsid w:val="009E07D3"/>
    <w:rsid w:val="009E0CCA"/>
    <w:rsid w:val="009E2913"/>
    <w:rsid w:val="009E74B1"/>
    <w:rsid w:val="009F1B90"/>
    <w:rsid w:val="009F2C28"/>
    <w:rsid w:val="009F4135"/>
    <w:rsid w:val="009F43FB"/>
    <w:rsid w:val="009F4F90"/>
    <w:rsid w:val="009F5561"/>
    <w:rsid w:val="009F79E6"/>
    <w:rsid w:val="00A01A70"/>
    <w:rsid w:val="00A01DD5"/>
    <w:rsid w:val="00A05DD6"/>
    <w:rsid w:val="00A068B8"/>
    <w:rsid w:val="00A06EAC"/>
    <w:rsid w:val="00A14524"/>
    <w:rsid w:val="00A145BF"/>
    <w:rsid w:val="00A171B2"/>
    <w:rsid w:val="00A177E4"/>
    <w:rsid w:val="00A20C97"/>
    <w:rsid w:val="00A2284B"/>
    <w:rsid w:val="00A242EF"/>
    <w:rsid w:val="00A250ED"/>
    <w:rsid w:val="00A25CBF"/>
    <w:rsid w:val="00A27DF3"/>
    <w:rsid w:val="00A3002F"/>
    <w:rsid w:val="00A3118C"/>
    <w:rsid w:val="00A32DA6"/>
    <w:rsid w:val="00A33C8F"/>
    <w:rsid w:val="00A360E6"/>
    <w:rsid w:val="00A40DD8"/>
    <w:rsid w:val="00A4135B"/>
    <w:rsid w:val="00A50547"/>
    <w:rsid w:val="00A52361"/>
    <w:rsid w:val="00A52B81"/>
    <w:rsid w:val="00A5676F"/>
    <w:rsid w:val="00A57D9D"/>
    <w:rsid w:val="00A70186"/>
    <w:rsid w:val="00A72F53"/>
    <w:rsid w:val="00A84685"/>
    <w:rsid w:val="00A85802"/>
    <w:rsid w:val="00A86AD5"/>
    <w:rsid w:val="00A90E78"/>
    <w:rsid w:val="00A94E9F"/>
    <w:rsid w:val="00A9523C"/>
    <w:rsid w:val="00AA2BFC"/>
    <w:rsid w:val="00AA4222"/>
    <w:rsid w:val="00AB1B94"/>
    <w:rsid w:val="00AB1BB5"/>
    <w:rsid w:val="00AB40B2"/>
    <w:rsid w:val="00AB48E6"/>
    <w:rsid w:val="00AB5E84"/>
    <w:rsid w:val="00AB63DF"/>
    <w:rsid w:val="00AB764B"/>
    <w:rsid w:val="00AC1916"/>
    <w:rsid w:val="00AC4ACE"/>
    <w:rsid w:val="00AC5219"/>
    <w:rsid w:val="00AC681E"/>
    <w:rsid w:val="00AD1BDB"/>
    <w:rsid w:val="00AF20F5"/>
    <w:rsid w:val="00AF3EF5"/>
    <w:rsid w:val="00AF426F"/>
    <w:rsid w:val="00B0033B"/>
    <w:rsid w:val="00B00A1D"/>
    <w:rsid w:val="00B07288"/>
    <w:rsid w:val="00B07B91"/>
    <w:rsid w:val="00B10DA3"/>
    <w:rsid w:val="00B11CBE"/>
    <w:rsid w:val="00B168B9"/>
    <w:rsid w:val="00B245C1"/>
    <w:rsid w:val="00B24D97"/>
    <w:rsid w:val="00B270B5"/>
    <w:rsid w:val="00B310D6"/>
    <w:rsid w:val="00B320B2"/>
    <w:rsid w:val="00B33C89"/>
    <w:rsid w:val="00B3687B"/>
    <w:rsid w:val="00B36971"/>
    <w:rsid w:val="00B37D72"/>
    <w:rsid w:val="00B40316"/>
    <w:rsid w:val="00B405B3"/>
    <w:rsid w:val="00B42258"/>
    <w:rsid w:val="00B46DA1"/>
    <w:rsid w:val="00B51855"/>
    <w:rsid w:val="00B54B92"/>
    <w:rsid w:val="00B57A38"/>
    <w:rsid w:val="00B61D92"/>
    <w:rsid w:val="00B6435B"/>
    <w:rsid w:val="00B6452D"/>
    <w:rsid w:val="00B65429"/>
    <w:rsid w:val="00B660E6"/>
    <w:rsid w:val="00B66462"/>
    <w:rsid w:val="00B66A6E"/>
    <w:rsid w:val="00B722A0"/>
    <w:rsid w:val="00B73A48"/>
    <w:rsid w:val="00B74429"/>
    <w:rsid w:val="00B745B7"/>
    <w:rsid w:val="00B80302"/>
    <w:rsid w:val="00B856FA"/>
    <w:rsid w:val="00B87C88"/>
    <w:rsid w:val="00B912A0"/>
    <w:rsid w:val="00B91DC7"/>
    <w:rsid w:val="00B929EA"/>
    <w:rsid w:val="00B931FC"/>
    <w:rsid w:val="00B97C0C"/>
    <w:rsid w:val="00BA1180"/>
    <w:rsid w:val="00BA41DD"/>
    <w:rsid w:val="00BA5F17"/>
    <w:rsid w:val="00BA7FEF"/>
    <w:rsid w:val="00BB2CD2"/>
    <w:rsid w:val="00BC666A"/>
    <w:rsid w:val="00BC7E44"/>
    <w:rsid w:val="00BD1187"/>
    <w:rsid w:val="00BD6F72"/>
    <w:rsid w:val="00BE0224"/>
    <w:rsid w:val="00BE5877"/>
    <w:rsid w:val="00BE760C"/>
    <w:rsid w:val="00BF188E"/>
    <w:rsid w:val="00BF23D7"/>
    <w:rsid w:val="00C077E8"/>
    <w:rsid w:val="00C1114E"/>
    <w:rsid w:val="00C1195E"/>
    <w:rsid w:val="00C161C4"/>
    <w:rsid w:val="00C16BF7"/>
    <w:rsid w:val="00C20338"/>
    <w:rsid w:val="00C30212"/>
    <w:rsid w:val="00C324BF"/>
    <w:rsid w:val="00C32B7A"/>
    <w:rsid w:val="00C33448"/>
    <w:rsid w:val="00C34608"/>
    <w:rsid w:val="00C3578A"/>
    <w:rsid w:val="00C35EA6"/>
    <w:rsid w:val="00C46D13"/>
    <w:rsid w:val="00C476D0"/>
    <w:rsid w:val="00C50BC5"/>
    <w:rsid w:val="00C518B2"/>
    <w:rsid w:val="00C518DA"/>
    <w:rsid w:val="00C51B41"/>
    <w:rsid w:val="00C53E6C"/>
    <w:rsid w:val="00C6034D"/>
    <w:rsid w:val="00C60785"/>
    <w:rsid w:val="00C61A29"/>
    <w:rsid w:val="00C628BC"/>
    <w:rsid w:val="00C63B08"/>
    <w:rsid w:val="00C71461"/>
    <w:rsid w:val="00C741D8"/>
    <w:rsid w:val="00C74578"/>
    <w:rsid w:val="00C762EE"/>
    <w:rsid w:val="00C768F4"/>
    <w:rsid w:val="00C81D71"/>
    <w:rsid w:val="00C82BE4"/>
    <w:rsid w:val="00C8300B"/>
    <w:rsid w:val="00C91FE7"/>
    <w:rsid w:val="00C94D88"/>
    <w:rsid w:val="00CA16D2"/>
    <w:rsid w:val="00CB04BC"/>
    <w:rsid w:val="00CB218E"/>
    <w:rsid w:val="00CB47B2"/>
    <w:rsid w:val="00CB5430"/>
    <w:rsid w:val="00CB6167"/>
    <w:rsid w:val="00CC1422"/>
    <w:rsid w:val="00CC299D"/>
    <w:rsid w:val="00CC5137"/>
    <w:rsid w:val="00CC701A"/>
    <w:rsid w:val="00CD24D2"/>
    <w:rsid w:val="00CD5C98"/>
    <w:rsid w:val="00CD6EB5"/>
    <w:rsid w:val="00CE2CC1"/>
    <w:rsid w:val="00CE4212"/>
    <w:rsid w:val="00CE5352"/>
    <w:rsid w:val="00CE71C8"/>
    <w:rsid w:val="00CF02B6"/>
    <w:rsid w:val="00CF498B"/>
    <w:rsid w:val="00CF4A6B"/>
    <w:rsid w:val="00CF5093"/>
    <w:rsid w:val="00CF5FD8"/>
    <w:rsid w:val="00D012C0"/>
    <w:rsid w:val="00D016DA"/>
    <w:rsid w:val="00D01D04"/>
    <w:rsid w:val="00D01D3A"/>
    <w:rsid w:val="00D03965"/>
    <w:rsid w:val="00D045BF"/>
    <w:rsid w:val="00D064FC"/>
    <w:rsid w:val="00D11EC0"/>
    <w:rsid w:val="00D12E87"/>
    <w:rsid w:val="00D12F5B"/>
    <w:rsid w:val="00D1370C"/>
    <w:rsid w:val="00D13C84"/>
    <w:rsid w:val="00D14210"/>
    <w:rsid w:val="00D2208A"/>
    <w:rsid w:val="00D22321"/>
    <w:rsid w:val="00D2365D"/>
    <w:rsid w:val="00D2480A"/>
    <w:rsid w:val="00D33BA7"/>
    <w:rsid w:val="00D34192"/>
    <w:rsid w:val="00D343B3"/>
    <w:rsid w:val="00D36AC9"/>
    <w:rsid w:val="00D43F38"/>
    <w:rsid w:val="00D47EA8"/>
    <w:rsid w:val="00D503B7"/>
    <w:rsid w:val="00D545E6"/>
    <w:rsid w:val="00D5560C"/>
    <w:rsid w:val="00D56109"/>
    <w:rsid w:val="00D57424"/>
    <w:rsid w:val="00D608C0"/>
    <w:rsid w:val="00D64464"/>
    <w:rsid w:val="00D6597D"/>
    <w:rsid w:val="00D65EDE"/>
    <w:rsid w:val="00D70B11"/>
    <w:rsid w:val="00D73040"/>
    <w:rsid w:val="00D76AEA"/>
    <w:rsid w:val="00D76F4E"/>
    <w:rsid w:val="00D8059C"/>
    <w:rsid w:val="00D8111A"/>
    <w:rsid w:val="00D81A37"/>
    <w:rsid w:val="00D82C44"/>
    <w:rsid w:val="00D831F0"/>
    <w:rsid w:val="00D83651"/>
    <w:rsid w:val="00D8437C"/>
    <w:rsid w:val="00D861E5"/>
    <w:rsid w:val="00D874AB"/>
    <w:rsid w:val="00D943E0"/>
    <w:rsid w:val="00D94734"/>
    <w:rsid w:val="00DA081B"/>
    <w:rsid w:val="00DA2AA2"/>
    <w:rsid w:val="00DA5F4E"/>
    <w:rsid w:val="00DA6EF9"/>
    <w:rsid w:val="00DB12EE"/>
    <w:rsid w:val="00DB7FA8"/>
    <w:rsid w:val="00DC4AD8"/>
    <w:rsid w:val="00DC5C1C"/>
    <w:rsid w:val="00DC71CA"/>
    <w:rsid w:val="00DC741E"/>
    <w:rsid w:val="00DD0806"/>
    <w:rsid w:val="00DE2B9A"/>
    <w:rsid w:val="00DE34CB"/>
    <w:rsid w:val="00DE47FA"/>
    <w:rsid w:val="00DE5417"/>
    <w:rsid w:val="00DE5DFC"/>
    <w:rsid w:val="00DE6977"/>
    <w:rsid w:val="00DF6382"/>
    <w:rsid w:val="00DF7828"/>
    <w:rsid w:val="00E01F41"/>
    <w:rsid w:val="00E0766B"/>
    <w:rsid w:val="00E10DFD"/>
    <w:rsid w:val="00E12AB4"/>
    <w:rsid w:val="00E14A80"/>
    <w:rsid w:val="00E164AA"/>
    <w:rsid w:val="00E17374"/>
    <w:rsid w:val="00E21D37"/>
    <w:rsid w:val="00E226B8"/>
    <w:rsid w:val="00E31E8A"/>
    <w:rsid w:val="00E40E6B"/>
    <w:rsid w:val="00E427A2"/>
    <w:rsid w:val="00E42C29"/>
    <w:rsid w:val="00E447B0"/>
    <w:rsid w:val="00E47443"/>
    <w:rsid w:val="00E47A15"/>
    <w:rsid w:val="00E47A7B"/>
    <w:rsid w:val="00E546AC"/>
    <w:rsid w:val="00E573F3"/>
    <w:rsid w:val="00E60985"/>
    <w:rsid w:val="00E617A2"/>
    <w:rsid w:val="00E62EF3"/>
    <w:rsid w:val="00E661C6"/>
    <w:rsid w:val="00E72044"/>
    <w:rsid w:val="00E72DFC"/>
    <w:rsid w:val="00E744DF"/>
    <w:rsid w:val="00E821D9"/>
    <w:rsid w:val="00E84872"/>
    <w:rsid w:val="00E86AA3"/>
    <w:rsid w:val="00E86C03"/>
    <w:rsid w:val="00E86CF4"/>
    <w:rsid w:val="00E90B6B"/>
    <w:rsid w:val="00E9161E"/>
    <w:rsid w:val="00E929AF"/>
    <w:rsid w:val="00E92E81"/>
    <w:rsid w:val="00E95031"/>
    <w:rsid w:val="00E96616"/>
    <w:rsid w:val="00E966A1"/>
    <w:rsid w:val="00EA0AEB"/>
    <w:rsid w:val="00EA432C"/>
    <w:rsid w:val="00EA7CFD"/>
    <w:rsid w:val="00EB08E1"/>
    <w:rsid w:val="00EB1BA6"/>
    <w:rsid w:val="00EB3831"/>
    <w:rsid w:val="00EB5B23"/>
    <w:rsid w:val="00EC0A1F"/>
    <w:rsid w:val="00EC0CC0"/>
    <w:rsid w:val="00EC0D19"/>
    <w:rsid w:val="00EC1919"/>
    <w:rsid w:val="00EC2C2C"/>
    <w:rsid w:val="00EC398E"/>
    <w:rsid w:val="00EC71AC"/>
    <w:rsid w:val="00ED0520"/>
    <w:rsid w:val="00ED1992"/>
    <w:rsid w:val="00ED47C8"/>
    <w:rsid w:val="00ED62A4"/>
    <w:rsid w:val="00EE27D6"/>
    <w:rsid w:val="00EF1D0F"/>
    <w:rsid w:val="00EF21AE"/>
    <w:rsid w:val="00EF4110"/>
    <w:rsid w:val="00EF493C"/>
    <w:rsid w:val="00EF7B3F"/>
    <w:rsid w:val="00F01376"/>
    <w:rsid w:val="00F05BB4"/>
    <w:rsid w:val="00F15318"/>
    <w:rsid w:val="00F15378"/>
    <w:rsid w:val="00F170B6"/>
    <w:rsid w:val="00F20010"/>
    <w:rsid w:val="00F22FCF"/>
    <w:rsid w:val="00F23553"/>
    <w:rsid w:val="00F264D6"/>
    <w:rsid w:val="00F2756B"/>
    <w:rsid w:val="00F30A60"/>
    <w:rsid w:val="00F310BC"/>
    <w:rsid w:val="00F312AF"/>
    <w:rsid w:val="00F32C56"/>
    <w:rsid w:val="00F32E66"/>
    <w:rsid w:val="00F3780E"/>
    <w:rsid w:val="00F37B3D"/>
    <w:rsid w:val="00F429EB"/>
    <w:rsid w:val="00F43EF3"/>
    <w:rsid w:val="00F443A3"/>
    <w:rsid w:val="00F453D6"/>
    <w:rsid w:val="00F5244A"/>
    <w:rsid w:val="00F527B1"/>
    <w:rsid w:val="00F60012"/>
    <w:rsid w:val="00F66969"/>
    <w:rsid w:val="00F72CDA"/>
    <w:rsid w:val="00F73169"/>
    <w:rsid w:val="00F731F8"/>
    <w:rsid w:val="00F7578A"/>
    <w:rsid w:val="00F75853"/>
    <w:rsid w:val="00F8080A"/>
    <w:rsid w:val="00F83C72"/>
    <w:rsid w:val="00F867FE"/>
    <w:rsid w:val="00F91144"/>
    <w:rsid w:val="00F95C42"/>
    <w:rsid w:val="00FA0DC7"/>
    <w:rsid w:val="00FA7F09"/>
    <w:rsid w:val="00FB3191"/>
    <w:rsid w:val="00FB3459"/>
    <w:rsid w:val="00FB4823"/>
    <w:rsid w:val="00FC1EAC"/>
    <w:rsid w:val="00FC4A76"/>
    <w:rsid w:val="00FC4B87"/>
    <w:rsid w:val="00FC6E3E"/>
    <w:rsid w:val="00FC7D9A"/>
    <w:rsid w:val="00FD39D5"/>
    <w:rsid w:val="00FD462A"/>
    <w:rsid w:val="00FE0BBD"/>
    <w:rsid w:val="00FE33BC"/>
    <w:rsid w:val="00FF0B4E"/>
    <w:rsid w:val="00FF5A15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2206C6-FE5C-45DE-9F6C-BCC1CE8B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iPriority w:val="99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  <w:style w:type="paragraph" w:customStyle="1" w:styleId="EmptyCellLayoutStyle">
    <w:name w:val="EmptyCellLayoutStyle"/>
    <w:rsid w:val="00D64464"/>
    <w:pPr>
      <w:spacing w:after="160" w:line="259" w:lineRule="auto"/>
    </w:pPr>
    <w:rPr>
      <w:sz w:val="2"/>
    </w:rPr>
  </w:style>
  <w:style w:type="character" w:customStyle="1" w:styleId="nobr">
    <w:name w:val="nobr"/>
    <w:basedOn w:val="a0"/>
    <w:rsid w:val="00D64464"/>
  </w:style>
  <w:style w:type="character" w:customStyle="1" w:styleId="aff0">
    <w:name w:val="Основной текст_"/>
    <w:link w:val="27"/>
    <w:rsid w:val="004A1FA3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0"/>
    <w:rsid w:val="004A1FA3"/>
    <w:pPr>
      <w:shd w:val="clear" w:color="auto" w:fill="FFFFFF"/>
      <w:spacing w:after="240" w:line="274" w:lineRule="exact"/>
      <w:jc w:val="right"/>
    </w:pPr>
    <w:rPr>
      <w:sz w:val="23"/>
      <w:szCs w:val="23"/>
    </w:rPr>
  </w:style>
  <w:style w:type="character" w:customStyle="1" w:styleId="FontStyle13">
    <w:name w:val="Font Style13"/>
    <w:uiPriority w:val="99"/>
    <w:rsid w:val="00A5676F"/>
    <w:rPr>
      <w:rFonts w:ascii="Times New Roman" w:hAnsi="Times New Roman" w:cs="Times New Roman"/>
      <w:b/>
      <w:bCs/>
      <w:sz w:val="22"/>
      <w:szCs w:val="22"/>
    </w:rPr>
  </w:style>
  <w:style w:type="paragraph" w:customStyle="1" w:styleId="aff1">
    <w:name w:val="Содержимое таблицы"/>
    <w:basedOn w:val="a"/>
    <w:rsid w:val="007025DB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extended-textfull">
    <w:name w:val="extended-text__full"/>
    <w:basedOn w:val="a0"/>
    <w:rsid w:val="0002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2&amp;RepType=11&amp;user=30d71420-e3f1-4104-b9b6-ace82cedf5dc'))" TargetMode="External"/><Relationship Id="rId13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00.0000&amp;RepType=15&amp;user=30d71420-e3f1-4104-b9b6-ace82cedf5dc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63.0000&amp;RepType=15&amp;user=30d71420-e3f1-4104-b9b6-ace82cedf5dc'))" TargetMode="External"/><Relationship Id="rId26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96&amp;RepType=3&amp;user=30d71420-e3f1-4104-b9b6-ace82cedf5dc'))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javascript:void(window.open('http://10.128.66.165:8083/ReportServer/Pages/ReportViewer.aspx?%2fDocument%2fApproachQuestionQuarter_child2&amp;StartDate=01.01.2020&amp;EndDate=31.03.2020&amp;AddCondition=0002.0000.0000.0000&amp;RepType=15&amp;user=2d264ea6-5e23-4319-99ea-ad76e5f7a23b'))" TargetMode="External"/><Relationship Id="rId34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51&amp;RepType=3&amp;user=30d71420-e3f1-4104-b9b6-ace82cedf5dc')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10&amp;RepType=11&amp;user=30d71420-e3f1-4104-b9b6-ace82cedf5dc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6.0000&amp;RepType=15&amp;user=30d71420-e3f1-4104-b9b6-ace82cedf5dc'))" TargetMode="External"/><Relationship Id="rId25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3473&amp;RepType=3&amp;user=30d71420-e3f1-4104-b9b6-ace82cedf5dc'))" TargetMode="External"/><Relationship Id="rId33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90&amp;RepType=3&amp;user=30d71420-e3f1-4104-b9b6-ace82cedf5dc'))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6.0000&amp;RepType=15&amp;user=30d71420-e3f1-4104-b9b6-ace82cedf5dc'))" TargetMode="External"/><Relationship Id="rId20" Type="http://schemas.openxmlformats.org/officeDocument/2006/relationships/hyperlink" Target="consultantplus://offline/ref=6FBD42AFCF8E4B6D8F1A30EB0C272C54F2B7A91951F837A77CFA0787684A1B5B2E8F671BF236CCD97Ea0N" TargetMode="External"/><Relationship Id="rId29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67&amp;RepType=3&amp;user=30d71420-e3f1-4104-b9b6-ace82cedf5dc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5&amp;RepType=11&amp;user=30d71420-e3f1-4104-b9b6-ace82cedf5dc'))" TargetMode="External"/><Relationship Id="rId24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73&amp;RepType=3&amp;user=30d71420-e3f1-4104-b9b6-ace82cedf5dc'))" TargetMode="External"/><Relationship Id="rId32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56&amp;RepType=3&amp;user=30d71420-e3f1-4104-b9b6-ace82cedf5dc'))" TargetMode="External"/><Relationship Id="rId37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3479&amp;RepType=3&amp;user=30d71420-e3f1-4104-b9b6-ace82cedf5dc')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4.0000&amp;RepType=15&amp;user=30d71420-e3f1-4104-b9b6-ace82cedf5dc'))" TargetMode="External"/><Relationship Id="rId23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49&amp;RepType=3&amp;user=30d71420-e3f1-4104-b9b6-ace82cedf5dc'))" TargetMode="External"/><Relationship Id="rId28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74&amp;RepType=3&amp;user=30d71420-e3f1-4104-b9b6-ace82cedf5dc'))" TargetMode="External"/><Relationship Id="rId36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76&amp;RepType=3&amp;user=30d71420-e3f1-4104-b9b6-ace82cedf5dc'))" TargetMode="External"/><Relationship Id="rId10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4&amp;RepType=11&amp;user=30d71420-e3f1-4104-b9b6-ace82cedf5dc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60.0000&amp;RepType=15&amp;user=30d71420-e3f1-4104-b9b6-ace82cedf5dc'))" TargetMode="External"/><Relationship Id="rId31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53&amp;RepType=3&amp;user=30d71420-e3f1-4104-b9b6-ace82cedf5dc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3&amp;RepType=11&amp;user=30d71420-e3f1-4104-b9b6-ace82cedf5dc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3.0000&amp;RepType=15&amp;user=30d71420-e3f1-4104-b9b6-ace82cedf5dc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2.0006.0000.0000&amp;RepType=15&amp;user=30d71420-e3f1-4104-b9b6-ace82cedf5dc'))" TargetMode="External"/><Relationship Id="rId27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68&amp;RepType=3&amp;user=30d71420-e3f1-4104-b9b6-ace82cedf5dc'))" TargetMode="External"/><Relationship Id="rId30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95&amp;RepType=3&amp;user=30d71420-e3f1-4104-b9b6-ace82cedf5dc'))" TargetMode="External"/><Relationship Id="rId35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75&amp;RepType=3&amp;user=30d71420-e3f1-4104-b9b6-ace82cedf5dc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9097-E0A1-47FF-9DEF-46E4B61D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5016</Words>
  <Characters>28596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33545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Побужаева Татьяна Вячеславовна</cp:lastModifiedBy>
  <cp:revision>6</cp:revision>
  <cp:lastPrinted>2021-01-12T07:41:00Z</cp:lastPrinted>
  <dcterms:created xsi:type="dcterms:W3CDTF">2021-01-12T07:18:00Z</dcterms:created>
  <dcterms:modified xsi:type="dcterms:W3CDTF">2021-01-12T09:46:00Z</dcterms:modified>
</cp:coreProperties>
</file>