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20" w:rsidRDefault="00DB6D2A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налоговых льготах»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налоговых льготах»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8"/>
          <w:headerReference w:type="default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9D0" w:rsidRPr="002900B2" w:rsidRDefault="008E69D0" w:rsidP="008E69D0">
      <w:pPr>
        <w:ind w:firstLine="567"/>
      </w:pPr>
      <w:r w:rsidRPr="002900B2">
        <w:lastRenderedPageBreak/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8714A1">
        <w:rPr>
          <w:rFonts w:ascii="Times New Roman" w:hAnsi="Times New Roman"/>
          <w:b/>
          <w:sz w:val="24"/>
          <w:szCs w:val="24"/>
        </w:rPr>
        <w:t>Т: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8E69D0">
      <w:pPr>
        <w:shd w:val="clear" w:color="auto" w:fill="FFFFFF"/>
        <w:ind w:firstLine="567"/>
        <w:jc w:val="both"/>
      </w:pPr>
      <w:r w:rsidRPr="0091150E">
        <w:t xml:space="preserve">1. </w:t>
      </w:r>
      <w:r>
        <w:t xml:space="preserve">Одобрить проект закона Санкт-Петербурга </w:t>
      </w:r>
      <w:r w:rsidRPr="0091150E">
        <w:t>«</w:t>
      </w:r>
      <w:r w:rsidRPr="00E07CD4">
        <w:t>О внесении изменений</w:t>
      </w:r>
      <w:r>
        <w:t xml:space="preserve"> </w:t>
      </w:r>
      <w:r w:rsidRPr="00E07CD4">
        <w:t>в Закон</w:t>
      </w:r>
      <w:r>
        <w:t xml:space="preserve"> </w:t>
      </w:r>
      <w:r>
        <w:br/>
      </w:r>
      <w:r w:rsidRPr="00E07CD4">
        <w:t>Санкт-Петербурга «О налоговых льготах»</w:t>
      </w:r>
      <w:r>
        <w:t xml:space="preserve"> (далее – проект закона) согласно приложению.</w:t>
      </w:r>
    </w:p>
    <w:p w:rsidR="008E69D0" w:rsidRDefault="005C5084" w:rsidP="008E69D0">
      <w:pPr>
        <w:shd w:val="clear" w:color="auto" w:fill="FFFFFF"/>
        <w:ind w:firstLine="567"/>
        <w:jc w:val="both"/>
      </w:pPr>
      <w:r>
        <w:t xml:space="preserve">2. </w:t>
      </w:r>
      <w:r w:rsidR="008E69D0">
        <w:t>Рекомендовать</w:t>
      </w:r>
      <w:r w:rsidR="008C3AF0">
        <w:t xml:space="preserve"> </w:t>
      </w:r>
      <w:r w:rsidR="008E69D0">
        <w:t>Губернатор</w:t>
      </w:r>
      <w:r w:rsidR="008D4FE4">
        <w:t xml:space="preserve">у </w:t>
      </w:r>
      <w:r w:rsidR="008E69D0">
        <w:t>Санкт-Петербурга внести проект закона</w:t>
      </w:r>
      <w:r w:rsidR="008D4FE4">
        <w:br/>
      </w:r>
      <w:r w:rsidR="008E69D0">
        <w:t xml:space="preserve"> на рассмотрение Законодательного Собрания Санкт-Петербурга</w:t>
      </w:r>
      <w:r w:rsidR="008E69D0" w:rsidRPr="0091150E">
        <w:t>.</w:t>
      </w:r>
    </w:p>
    <w:p w:rsidR="008E69D0" w:rsidRPr="0091150E" w:rsidRDefault="008E69D0" w:rsidP="008E69D0">
      <w:pPr>
        <w:shd w:val="clear" w:color="auto" w:fill="FFFFFF"/>
        <w:ind w:firstLine="567"/>
        <w:jc w:val="both"/>
      </w:pPr>
      <w:r>
        <w:t xml:space="preserve">3. </w:t>
      </w:r>
      <w:r w:rsidRPr="0091150E">
        <w:t>Контроль за выполнением постановления возложить на вице-губернатора</w:t>
      </w:r>
      <w:r>
        <w:t xml:space="preserve"> </w:t>
      </w:r>
      <w:r>
        <w:br/>
      </w:r>
      <w:r w:rsidRPr="0091150E">
        <w:t>Санкт-Петербурга</w:t>
      </w:r>
      <w:r>
        <w:t xml:space="preserve"> </w:t>
      </w:r>
      <w:proofErr w:type="spellStart"/>
      <w:r w:rsidR="003816B9">
        <w:t>Елина</w:t>
      </w:r>
      <w:proofErr w:type="spellEnd"/>
      <w:r w:rsidR="003816B9">
        <w:t xml:space="preserve"> Е.И.</w:t>
      </w:r>
      <w:r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D63084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:rsidR="008E69D0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  <w:r w:rsidR="008E69D0" w:rsidRPr="0091150E">
        <w:rPr>
          <w:b/>
          <w:bCs/>
        </w:rPr>
        <w:t xml:space="preserve">Санкт-Петербурга </w:t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  <w:t xml:space="preserve">            </w:t>
      </w:r>
      <w:r w:rsidR="008E69D0">
        <w:rPr>
          <w:b/>
          <w:bCs/>
        </w:rPr>
        <w:t xml:space="preserve">    </w:t>
      </w:r>
      <w:r w:rsidR="008E69D0" w:rsidRPr="0091150E">
        <w:rPr>
          <w:b/>
          <w:bCs/>
        </w:rPr>
        <w:t xml:space="preserve">  </w:t>
      </w:r>
      <w:r w:rsidR="008E69D0"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       </w:t>
      </w:r>
      <w:r w:rsidR="008E69D0" w:rsidRPr="008E69D0">
        <w:rPr>
          <w:b/>
          <w:bCs/>
        </w:rPr>
        <w:t xml:space="preserve"> </w:t>
      </w:r>
      <w:proofErr w:type="spellStart"/>
      <w:r w:rsidR="003816B9">
        <w:rPr>
          <w:b/>
          <w:bCs/>
        </w:rPr>
        <w:t>А.Д.Беглов</w:t>
      </w:r>
      <w:proofErr w:type="spellEnd"/>
    </w:p>
    <w:p w:rsidR="00275A7F" w:rsidRDefault="00275A7F" w:rsidP="009A4AF3">
      <w:pPr>
        <w:ind w:firstLine="567"/>
        <w:jc w:val="both"/>
        <w:sectPr w:rsidR="00275A7F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A7F" w:rsidRPr="00275A7F" w:rsidRDefault="00275A7F" w:rsidP="00275A7F">
      <w:pPr>
        <w:ind w:right="-2" w:firstLine="5812"/>
      </w:pPr>
      <w:r w:rsidRPr="00275A7F">
        <w:lastRenderedPageBreak/>
        <w:t>Приложение</w:t>
      </w:r>
    </w:p>
    <w:p w:rsidR="00275A7F" w:rsidRPr="00275A7F" w:rsidRDefault="00275A7F" w:rsidP="00275A7F">
      <w:pPr>
        <w:ind w:right="-2" w:firstLine="5812"/>
      </w:pPr>
      <w:proofErr w:type="gramStart"/>
      <w:r w:rsidRPr="00275A7F">
        <w:t>к</w:t>
      </w:r>
      <w:proofErr w:type="gramEnd"/>
      <w:r w:rsidRPr="00275A7F">
        <w:t xml:space="preserve"> постановлению</w:t>
      </w:r>
    </w:p>
    <w:p w:rsidR="00275A7F" w:rsidRPr="00275A7F" w:rsidRDefault="00275A7F" w:rsidP="00275A7F">
      <w:pPr>
        <w:ind w:right="-2" w:firstLine="5812"/>
      </w:pPr>
      <w:r w:rsidRPr="00275A7F">
        <w:t>Правительства Санкт-Петербурга</w:t>
      </w:r>
    </w:p>
    <w:p w:rsidR="00275A7F" w:rsidRPr="00275A7F" w:rsidRDefault="00275A7F" w:rsidP="00275A7F">
      <w:pPr>
        <w:ind w:right="-2" w:firstLine="5812"/>
      </w:pPr>
      <w:proofErr w:type="gramStart"/>
      <w:r w:rsidRPr="00275A7F">
        <w:t>от</w:t>
      </w:r>
      <w:proofErr w:type="gramEnd"/>
      <w:r w:rsidRPr="00275A7F">
        <w:t xml:space="preserve"> ________________ № _______</w:t>
      </w:r>
    </w:p>
    <w:p w:rsidR="00275A7F" w:rsidRPr="00275A7F" w:rsidRDefault="00275A7F" w:rsidP="00275A7F">
      <w:pPr>
        <w:ind w:right="-2" w:firstLine="5812"/>
      </w:pPr>
    </w:p>
    <w:p w:rsidR="00275A7F" w:rsidRPr="00275A7F" w:rsidRDefault="00275A7F" w:rsidP="00275A7F">
      <w:pPr>
        <w:ind w:right="-2" w:firstLine="5812"/>
      </w:pPr>
      <w:r w:rsidRPr="00275A7F">
        <w:t>Проект вносит</w:t>
      </w:r>
    </w:p>
    <w:p w:rsidR="00275A7F" w:rsidRPr="00275A7F" w:rsidRDefault="00275A7F" w:rsidP="00275A7F">
      <w:pPr>
        <w:ind w:right="-2" w:firstLine="5812"/>
      </w:pPr>
      <w:r w:rsidRPr="00275A7F">
        <w:t>Губернатор Санкт-Петербурга</w:t>
      </w:r>
    </w:p>
    <w:p w:rsidR="00275A7F" w:rsidRPr="00275A7F" w:rsidRDefault="00275A7F" w:rsidP="00275A7F">
      <w:pPr>
        <w:ind w:right="-2"/>
        <w:jc w:val="center"/>
        <w:rPr>
          <w:b/>
        </w:rPr>
      </w:pPr>
    </w:p>
    <w:p w:rsidR="00275A7F" w:rsidRPr="00275A7F" w:rsidRDefault="00275A7F" w:rsidP="00275A7F">
      <w:pPr>
        <w:ind w:right="-2"/>
        <w:jc w:val="center"/>
        <w:rPr>
          <w:b/>
        </w:rPr>
      </w:pPr>
      <w:r w:rsidRPr="00275A7F">
        <w:rPr>
          <w:b/>
        </w:rPr>
        <w:t>ЗАКОН САНКТ-ПЕТЕРБУРГА</w:t>
      </w:r>
    </w:p>
    <w:p w:rsidR="00275A7F" w:rsidRPr="00275A7F" w:rsidRDefault="00275A7F" w:rsidP="00275A7F">
      <w:pPr>
        <w:ind w:right="-2"/>
        <w:rPr>
          <w:b/>
        </w:rPr>
      </w:pP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«О налоговых льготах»</w:t>
      </w:r>
    </w:p>
    <w:p w:rsidR="00275A7F" w:rsidRPr="00275A7F" w:rsidRDefault="00275A7F" w:rsidP="00275A7F">
      <w:pPr>
        <w:ind w:right="-2"/>
      </w:pPr>
      <w:r w:rsidRPr="00275A7F">
        <w:t xml:space="preserve">Принят </w:t>
      </w:r>
    </w:p>
    <w:p w:rsidR="00275A7F" w:rsidRPr="00275A7F" w:rsidRDefault="00275A7F" w:rsidP="00275A7F">
      <w:pPr>
        <w:ind w:right="-2"/>
      </w:pPr>
      <w:r w:rsidRPr="00275A7F">
        <w:t xml:space="preserve">Законодательным Собранием </w:t>
      </w:r>
    </w:p>
    <w:p w:rsidR="00275A7F" w:rsidRPr="00275A7F" w:rsidRDefault="00275A7F" w:rsidP="00275A7F">
      <w:pPr>
        <w:ind w:right="-2"/>
      </w:pPr>
      <w:r w:rsidRPr="00275A7F">
        <w:t>Санкт-Петербурга</w:t>
      </w:r>
      <w:r w:rsidRPr="00275A7F">
        <w:tab/>
        <w:t xml:space="preserve">                                                               </w:t>
      </w:r>
      <w:proofErr w:type="gramStart"/>
      <w:r w:rsidRPr="00275A7F">
        <w:t xml:space="preserve">   «</w:t>
      </w:r>
      <w:proofErr w:type="gramEnd"/>
      <w:r w:rsidRPr="00275A7F">
        <w:t>____»______________ 2019 года</w:t>
      </w:r>
    </w:p>
    <w:p w:rsidR="00275A7F" w:rsidRPr="00275A7F" w:rsidRDefault="00275A7F" w:rsidP="00275A7F">
      <w:pPr>
        <w:ind w:right="-2"/>
      </w:pP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1</w:t>
      </w:r>
    </w:p>
    <w:p w:rsidR="00275A7F" w:rsidRPr="00275A7F" w:rsidRDefault="00275A7F" w:rsidP="00275A7F">
      <w:pPr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spacing w:val="-4"/>
          <w:lang w:eastAsia="en-US"/>
        </w:rPr>
        <w:t>Внести в Закон Санкт-Петербурга от 28 июня 1995 года № 81-11 «О налоговых льготах»</w:t>
      </w:r>
      <w:r w:rsidRPr="00275A7F">
        <w:rPr>
          <w:rFonts w:eastAsiaTheme="minorHAnsi"/>
          <w:lang w:eastAsia="en-US"/>
        </w:rPr>
        <w:t xml:space="preserve"> следующие изменения:</w:t>
      </w:r>
    </w:p>
    <w:p w:rsidR="00275A7F" w:rsidRPr="00275A7F" w:rsidRDefault="00275A7F" w:rsidP="00275A7F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Дополнить статьей 11-11-1 следующего содержания:</w:t>
      </w:r>
    </w:p>
    <w:p w:rsidR="00275A7F" w:rsidRPr="00275A7F" w:rsidRDefault="00275A7F" w:rsidP="00275A7F">
      <w:pPr>
        <w:ind w:firstLine="709"/>
        <w:contextualSpacing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«Статья 11-11-1</w:t>
      </w:r>
    </w:p>
    <w:p w:rsidR="00275A7F" w:rsidRPr="00275A7F" w:rsidRDefault="00275A7F" w:rsidP="00275A7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1. Инвестиционный налоговый вычет, установленный статьей 286.1 Налогового кодекса Российской Федерации (далее – инвестиционный налоговый вычет), вправе применять организации, за исключением ответственных участников консолидированных групп налогоплательщиков, состоящие на налоговом учете в Санкт-Петербурге и отвечающие одновременно следующим требованиям: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осуществляющие экономическую деятельность в соответствии </w:t>
      </w:r>
      <w:r w:rsidRPr="00275A7F">
        <w:rPr>
          <w:rFonts w:eastAsiaTheme="minorHAnsi"/>
          <w:lang w:eastAsia="en-US"/>
        </w:rPr>
        <w:br/>
        <w:t>с разделом С «Обрабатывающие производства» Общероссийского классификатора видов экономической деятельности ОК 029-2014, за исключением видов экономической деятельности, предусмотренных следующими кодами Общероссийского классификатора видов экономической деятельности ОК 029-2014: 11 «Производство напитков» (кроме 11.06 «Производство солода», 11.07 «Производство безалкогольных напитков; производство минеральных вод и прочих питьевых вод в бутылках»), 12 «Производство табачных изделий», 19 «Производство кокса и нефтепродуктов»;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получающие доходы от экономической деятельности, относящейся к видам, указанным в настоящем пункте, в объеме не менее 70 процентов всех доходов,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Федерации, при условии ведения раздельного учета доходов (расходов), полученных (понесенных) от экономической деятельности, относящейся к видам, указанным в настоящем пункте, и доходов (расходов), полученных (понесенных) от иной экономической деятельности.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2. Право на применение инвестиционного налогового вычета предоставляется </w:t>
      </w:r>
      <w:r w:rsidRPr="00275A7F">
        <w:rPr>
          <w:rFonts w:eastAsiaTheme="minorHAnsi"/>
          <w:lang w:eastAsia="en-US"/>
        </w:rPr>
        <w:br/>
        <w:t xml:space="preserve">в отношении объектов основных средств, относящихся к подразделу «Машины </w:t>
      </w:r>
      <w:r w:rsidRPr="00275A7F">
        <w:rPr>
          <w:rFonts w:eastAsiaTheme="minorHAnsi"/>
          <w:lang w:eastAsia="en-US"/>
        </w:rPr>
        <w:br/>
        <w:t>и оборудование» третьей-десятой амортизационных групп согласно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и возникает у организации с начала налогового периода, по итогам которого коэффициент обновления основных средств составил не менее 20 процентов.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В целях настоящей статьи коэффициент обновления основных средств определяется как отношение суммы балансовых стоимостей основных средств, относящихся к подразделу «Машины и оборудование» согласно Классификации основных средств, включаемых </w:t>
      </w:r>
      <w:r w:rsidRPr="00275A7F">
        <w:rPr>
          <w:rFonts w:eastAsiaTheme="minorHAnsi"/>
          <w:lang w:eastAsia="en-US"/>
        </w:rPr>
        <w:br/>
        <w:t xml:space="preserve">в амортизационные группы, утвержденной постановлением Правительства Российской Федерации от 01.01.2002 № 1 «О Классификации основных средств, включаемых </w:t>
      </w:r>
      <w:r w:rsidRPr="00275A7F">
        <w:rPr>
          <w:rFonts w:eastAsiaTheme="minorHAnsi"/>
          <w:lang w:eastAsia="en-US"/>
        </w:rPr>
        <w:br/>
        <w:t xml:space="preserve">в амортизационные группы», к сумме остаточных стоимостей основных средств, относящихся </w:t>
      </w:r>
      <w:r w:rsidRPr="00275A7F">
        <w:rPr>
          <w:rFonts w:eastAsiaTheme="minorHAnsi"/>
          <w:lang w:eastAsia="en-US"/>
        </w:rPr>
        <w:lastRenderedPageBreak/>
        <w:t xml:space="preserve">к подразделу «Машины и оборудование» согласно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</w:t>
      </w:r>
      <w:r w:rsidRPr="00275A7F">
        <w:rPr>
          <w:rFonts w:eastAsiaTheme="minorHAnsi"/>
          <w:lang w:eastAsia="en-US"/>
        </w:rPr>
        <w:br/>
        <w:t>в амортизационные группы», по состоянию на последнюю дату налогового периода.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Под балансовой стоимостью, указанной в абзаце втором настоящего пункта, понимаются расходы текущего налогового периода, составляющие первоначальную стоимость основного средства в соответствии с абзацем вторым пункта 1 статьи 257 Налогового кодекса Российской Федерации, и расходы текущего налогового периода, составляющие величину изменения первоначальной стоимости основного средства в случаях, указанных в пункте 2 статьи 257 Налогового кодекса Российской Федерации (за исключением частичной ликвидации основного средства).</w:t>
      </w:r>
    </w:p>
    <w:p w:rsidR="00275A7F" w:rsidRPr="00275A7F" w:rsidRDefault="00275A7F" w:rsidP="00275A7F">
      <w:pPr>
        <w:tabs>
          <w:tab w:val="left" w:pos="284"/>
        </w:tabs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3. Размер инвестиционного налогового вычета текущего налогового периода составляет 90 процентов суммы расходов, осуществленных налогоплательщиком в текущем налоговом периоде в соответствии с подпунктами 1 и 2 пункта 2 статьи 286.1 Налогового кодекса Российской Федерации в объекты основных средств, относящихся к подразделу «Машины и оборудование» третьей-десятой  амортизационных групп согласно Классификации основных средств, включаемых в амортизационные группы, утвержденной постановлением Правительства Российской Федерации от 01.01.2002 </w:t>
      </w:r>
      <w:r w:rsidRPr="00275A7F">
        <w:rPr>
          <w:rFonts w:eastAsiaTheme="minorHAnsi"/>
          <w:lang w:eastAsia="en-US"/>
        </w:rPr>
        <w:br/>
        <w:t xml:space="preserve">№ 1 «О Классификации основных средств, включаемых в амортизационные группы», </w:t>
      </w:r>
      <w:r w:rsidRPr="00275A7F">
        <w:rPr>
          <w:rFonts w:eastAsiaTheme="minorHAnsi"/>
          <w:lang w:eastAsia="en-US"/>
        </w:rPr>
        <w:br/>
        <w:t>но не более предельной величины инвестиционного налогового вычета, определяемой</w:t>
      </w:r>
      <w:r w:rsidRPr="00275A7F">
        <w:rPr>
          <w:rFonts w:eastAsiaTheme="minorHAnsi"/>
          <w:lang w:eastAsia="en-US"/>
        </w:rPr>
        <w:br/>
        <w:t xml:space="preserve">в соответствии с пунктом 2.1 статьи 286.1 Налогового кодекса Российской Федерации. </w:t>
      </w:r>
    </w:p>
    <w:p w:rsidR="00275A7F" w:rsidRPr="00275A7F" w:rsidRDefault="00275A7F" w:rsidP="00275A7F">
      <w:pPr>
        <w:tabs>
          <w:tab w:val="left" w:pos="284"/>
        </w:tabs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Размер инвестиционного налогового вычета, рассчитанный в соответствии с абзацем первым настоящего пункта, в сумме, превышающей в текущем налоговом периоде предельную величину инвестиционного налогового вычета, определяемую в соответствии </w:t>
      </w:r>
      <w:r w:rsidRPr="00275A7F">
        <w:rPr>
          <w:rFonts w:eastAsiaTheme="minorHAnsi"/>
          <w:lang w:eastAsia="en-US"/>
        </w:rPr>
        <w:br/>
        <w:t xml:space="preserve">с пунктом 2.1 статьи 286.1 Налогового кодекса Российской Федерации, может быть учтен </w:t>
      </w:r>
      <w:r w:rsidRPr="00275A7F">
        <w:rPr>
          <w:rFonts w:eastAsiaTheme="minorHAnsi"/>
          <w:lang w:eastAsia="en-US"/>
        </w:rPr>
        <w:br/>
        <w:t>при определении инвестиционного налогового вычета в последующих налоговых периодах.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4. Размер налоговой ставки налога на прибыль организаций для определения предельной величины инвестиционного налогового вычета в соответствии с пунктом 2.1 статьи 286.1 Налогового кодекса Российской Федерации составляет 8 процентов.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275A7F">
        <w:rPr>
          <w:rFonts w:eastAsiaTheme="minorHAnsi"/>
          <w:lang w:eastAsia="en-US"/>
        </w:rPr>
        <w:t xml:space="preserve">5. Организации, указанные в пункте 1 настоящей статьи, представляют в налоговый орган по месту налогового учета в составе отчетности за каждый налоговый период, в котором использовано право на применение инвестиционного налогового вычета в соответствии </w:t>
      </w:r>
      <w:r w:rsidRPr="00275A7F">
        <w:rPr>
          <w:rFonts w:eastAsiaTheme="minorHAnsi"/>
          <w:lang w:eastAsia="en-US"/>
        </w:rPr>
        <w:br/>
        <w:t>с настоящей статьей, следующие документы: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275A7F">
        <w:rPr>
          <w:rFonts w:eastAsiaTheme="minorHAnsi"/>
          <w:lang w:eastAsia="en-US"/>
        </w:rPr>
        <w:t>расчет</w:t>
      </w:r>
      <w:proofErr w:type="gramEnd"/>
      <w:r w:rsidRPr="00275A7F">
        <w:rPr>
          <w:rFonts w:eastAsiaTheme="minorHAnsi"/>
          <w:lang w:eastAsia="en-US"/>
        </w:rPr>
        <w:t xml:space="preserve"> размера инвестиционного налогового вычета в произвольной форме;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275A7F">
        <w:rPr>
          <w:rFonts w:eastAsiaTheme="minorHAnsi"/>
          <w:lang w:eastAsia="en-US"/>
        </w:rPr>
        <w:t>учетную</w:t>
      </w:r>
      <w:proofErr w:type="gramEnd"/>
      <w:r w:rsidRPr="00275A7F">
        <w:rPr>
          <w:rFonts w:eastAsiaTheme="minorHAnsi"/>
          <w:lang w:eastAsia="en-US"/>
        </w:rPr>
        <w:t xml:space="preserve"> политику организации;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275A7F">
        <w:rPr>
          <w:lang w:eastAsia="en-US"/>
        </w:rPr>
        <w:t>расчет</w:t>
      </w:r>
      <w:proofErr w:type="gramEnd"/>
      <w:r w:rsidRPr="00275A7F">
        <w:rPr>
          <w:lang w:eastAsia="en-US"/>
        </w:rPr>
        <w:t xml:space="preserve"> доли доходов организации от видов экономической деятельности, указанных </w:t>
      </w:r>
      <w:r w:rsidRPr="00275A7F">
        <w:rPr>
          <w:lang w:eastAsia="en-US"/>
        </w:rPr>
        <w:br/>
        <w:t>в пункте 1 настоящей статьи, в общем объеме доходов организации,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</w:t>
      </w:r>
      <w:r w:rsidRPr="00275A7F">
        <w:rPr>
          <w:rFonts w:eastAsiaTheme="minorHAnsi"/>
          <w:lang w:eastAsia="en-US"/>
        </w:rPr>
        <w:t xml:space="preserve">. Расчет осуществляется </w:t>
      </w:r>
      <w:r w:rsidRPr="00275A7F">
        <w:rPr>
          <w:rFonts w:eastAsiaTheme="minorHAnsi"/>
          <w:lang w:eastAsia="en-US"/>
        </w:rPr>
        <w:br/>
        <w:t>в произвольной форме;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раздел 2 «Основные средства» приложений к бухгалтерскому балансу и отчету </w:t>
      </w:r>
      <w:r w:rsidRPr="00275A7F">
        <w:rPr>
          <w:rFonts w:eastAsiaTheme="minorHAnsi"/>
          <w:lang w:eastAsia="en-US"/>
        </w:rPr>
        <w:br/>
        <w:t>о финансовых результатах по форме согласно приложению № 3 к приказу Министерства финансов Российской Федерации от 02.07.2010 № 66н «О формах бухгалтерской отчетности организаций» с указанием сведений о наличии и движении объектов основных средств, относящихся к подразделу «Машины и оборудование» согласно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налоговый период, в котором использовано право на применение инвестиционного налогового вычета.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6. Организация вправе в любом налоговом периоде изменить ранее принятое решение об использовании (отказе от использования) права на применение инвестиционного налогового вычета.».</w:t>
      </w:r>
    </w:p>
    <w:p w:rsidR="00275A7F" w:rsidRPr="00275A7F" w:rsidRDefault="00275A7F" w:rsidP="00275A7F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142" w:firstLine="567"/>
        <w:contextualSpacing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Статью 11-15 дополнить пунктом следующего содержания: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lastRenderedPageBreak/>
        <w:t xml:space="preserve">«4. Инвестиционный налоговый вычет не может применяться налогоплательщиками одновременно с льготами по налогу на прибыль организаций, предусмотренными </w:t>
      </w:r>
      <w:r w:rsidRPr="00275A7F">
        <w:rPr>
          <w:rFonts w:eastAsiaTheme="minorHAnsi"/>
          <w:lang w:eastAsia="en-US"/>
        </w:rPr>
        <w:br/>
        <w:t xml:space="preserve">в статьях 11-8, 11-8-1, 11-8-2, 11-9, 11-9-1, 11-9-2 и 11-11 настоящего Закона </w:t>
      </w:r>
      <w:r w:rsidRPr="00275A7F">
        <w:rPr>
          <w:rFonts w:eastAsiaTheme="minorHAnsi"/>
          <w:lang w:eastAsia="en-US"/>
        </w:rPr>
        <w:br/>
        <w:t>Санкт-Петербурга. При возникновении у налогоплательщика права на применение указанных в настоящем пункте льгот применяемая налоговая льгота выбирается налогоплательщиком самостоятельно.</w:t>
      </w:r>
    </w:p>
    <w:p w:rsidR="00275A7F" w:rsidRPr="00275A7F" w:rsidRDefault="00275A7F" w:rsidP="00275A7F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Организации в целях применения налоговых льгот, предусмотренных в статьях </w:t>
      </w:r>
      <w:r w:rsidRPr="00275A7F">
        <w:rPr>
          <w:rFonts w:eastAsiaTheme="minorHAnsi"/>
          <w:lang w:eastAsia="en-US"/>
        </w:rPr>
        <w:br/>
        <w:t xml:space="preserve">11-8, 11-8-1, 11-8-2, 11-9, 11-9-1, 11-9-2 и 11-11 настоящего Закона Санкт-Петербурга, </w:t>
      </w:r>
      <w:r w:rsidRPr="00275A7F">
        <w:rPr>
          <w:rFonts w:eastAsiaTheme="minorHAnsi"/>
          <w:lang w:eastAsia="en-US"/>
        </w:rPr>
        <w:br/>
        <w:t>не вправе включать в расчет общей суммы вложений первоначальную стоимость основных средств и (или) осуществленные (понесенные) организацией расходы, увеличивающие первоначальную стоимость основных средств, в отношении которых налогоплательщик использовал право на применение инвестиционного налогового вычета, предусмотренного статьей 11-11-1 настоящего Закона Санкт-Петербурга».</w:t>
      </w:r>
    </w:p>
    <w:p w:rsidR="00275A7F" w:rsidRPr="00275A7F" w:rsidRDefault="00275A7F" w:rsidP="00275A7F">
      <w:pPr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>3.        Статью 12 дополнить пунктом следующего содержания:</w:t>
      </w:r>
    </w:p>
    <w:p w:rsidR="00275A7F" w:rsidRPr="00275A7F" w:rsidRDefault="00275A7F" w:rsidP="00275A7F">
      <w:pPr>
        <w:ind w:firstLine="709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lang w:eastAsia="en-US"/>
        </w:rPr>
        <w:t xml:space="preserve">«4. Статья 11-11-1 настоящего Закона Санкт-Петербурга утрачивает силу </w:t>
      </w:r>
      <w:r w:rsidRPr="00275A7F">
        <w:rPr>
          <w:rFonts w:eastAsiaTheme="minorHAnsi"/>
          <w:lang w:eastAsia="en-US"/>
        </w:rPr>
        <w:br/>
        <w:t>с 1 января 2028 года».</w:t>
      </w:r>
      <w:bookmarkStart w:id="0" w:name="_GoBack"/>
      <w:bookmarkEnd w:id="0"/>
    </w:p>
    <w:p w:rsidR="00275A7F" w:rsidRPr="00275A7F" w:rsidRDefault="00275A7F" w:rsidP="00275A7F">
      <w:pPr>
        <w:ind w:firstLine="709"/>
        <w:jc w:val="both"/>
        <w:rPr>
          <w:rFonts w:eastAsiaTheme="minorHAnsi"/>
          <w:lang w:eastAsia="en-US"/>
        </w:rPr>
      </w:pP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2.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lang w:eastAsia="en-US"/>
        </w:rPr>
      </w:pPr>
      <w:r w:rsidRPr="00275A7F">
        <w:rPr>
          <w:rFonts w:eastAsiaTheme="minorHAnsi"/>
          <w:lang w:eastAsia="en-US"/>
        </w:rPr>
        <w:t>Настоящий Закон Санкт-Петербурга вступает в силу с 1 января 2020 года</w:t>
      </w:r>
      <w:r w:rsidRPr="00275A7F">
        <w:rPr>
          <w:rFonts w:eastAsiaTheme="minorHAnsi"/>
          <w:bCs/>
          <w:iCs/>
          <w:lang w:eastAsia="en-US"/>
        </w:rPr>
        <w:t>, но не ранее дня его официального опубликования.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     Губернатор Санкт-Петербурга </w:t>
      </w:r>
      <w:r w:rsidRPr="00275A7F">
        <w:rPr>
          <w:b/>
        </w:rPr>
        <w:tab/>
        <w:t xml:space="preserve">                 </w:t>
      </w:r>
      <w:proofErr w:type="spellStart"/>
      <w:r w:rsidRPr="00275A7F">
        <w:rPr>
          <w:b/>
        </w:rPr>
        <w:t>А.Д.Беглов</w:t>
      </w:r>
      <w:proofErr w:type="spellEnd"/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>Санкт-Петербург</w:t>
      </w:r>
    </w:p>
    <w:p w:rsidR="00275A7F" w:rsidRPr="00275A7F" w:rsidRDefault="00275A7F" w:rsidP="00275A7F">
      <w:pPr>
        <w:ind w:right="-2"/>
        <w:rPr>
          <w:b/>
        </w:rPr>
      </w:pPr>
      <w:proofErr w:type="gramStart"/>
      <w:r w:rsidRPr="00275A7F">
        <w:rPr>
          <w:b/>
        </w:rPr>
        <w:t>« _</w:t>
      </w:r>
      <w:proofErr w:type="gramEnd"/>
      <w:r w:rsidRPr="00275A7F">
        <w:rPr>
          <w:b/>
        </w:rPr>
        <w:t>_ » _____________ 2019 года</w:t>
      </w:r>
    </w:p>
    <w:p w:rsidR="00275A7F" w:rsidRPr="00275A7F" w:rsidRDefault="00275A7F" w:rsidP="00275A7F">
      <w:pPr>
        <w:spacing w:after="160" w:line="259" w:lineRule="auto"/>
        <w:ind w:right="-2"/>
        <w:rPr>
          <w:rFonts w:eastAsiaTheme="minorHAnsi"/>
          <w:lang w:eastAsia="en-US"/>
        </w:rPr>
      </w:pPr>
      <w:r w:rsidRPr="00275A7F">
        <w:rPr>
          <w:rFonts w:eastAsiaTheme="minorHAnsi"/>
          <w:b/>
          <w:lang w:eastAsia="en-US"/>
        </w:rPr>
        <w:t>№ ________</w:t>
      </w:r>
    </w:p>
    <w:p w:rsidR="008E69D0" w:rsidRDefault="008E69D0" w:rsidP="009A4AF3">
      <w:pPr>
        <w:ind w:firstLine="567"/>
        <w:jc w:val="both"/>
      </w:pPr>
    </w:p>
    <w:sectPr w:rsidR="008E69D0" w:rsidSect="00534798">
      <w:headerReference w:type="default" r:id="rId10"/>
      <w:pgSz w:w="11906" w:h="16838"/>
      <w:pgMar w:top="426" w:right="849" w:bottom="993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35F" w:rsidRDefault="00D4035F">
      <w:r>
        <w:separator/>
      </w:r>
    </w:p>
  </w:endnote>
  <w:endnote w:type="continuationSeparator" w:id="0">
    <w:p w:rsidR="00D4035F" w:rsidRDefault="00D4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35F" w:rsidRDefault="00D4035F">
      <w:r>
        <w:separator/>
      </w:r>
    </w:p>
  </w:footnote>
  <w:footnote w:type="continuationSeparator" w:id="0">
    <w:p w:rsidR="00D4035F" w:rsidRDefault="00D40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5A7F">
      <w:rPr>
        <w:rStyle w:val="a5"/>
        <w:noProof/>
      </w:rPr>
      <w:t>1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409822"/>
      <w:docPartObj>
        <w:docPartGallery w:val="Page Numbers (Top of Page)"/>
        <w:docPartUnique/>
      </w:docPartObj>
    </w:sdtPr>
    <w:sdtEndPr/>
    <w:sdtContent>
      <w:p w:rsidR="00A44997" w:rsidRDefault="00D4035F" w:rsidP="00521F63">
        <w:pPr>
          <w:pStyle w:val="a3"/>
          <w:jc w:val="center"/>
        </w:pPr>
      </w:p>
      <w:p w:rsidR="00B9484F" w:rsidRPr="00E014AD" w:rsidRDefault="00D4035F" w:rsidP="00521F63">
        <w:pPr>
          <w:pStyle w:val="a3"/>
          <w:jc w:val="center"/>
        </w:pPr>
        <w:r w:rsidRPr="00E014AD">
          <w:fldChar w:fldCharType="begin"/>
        </w:r>
        <w:r w:rsidRPr="00E014AD">
          <w:instrText>PAGE   \* MERGEFORMAT</w:instrText>
        </w:r>
        <w:r w:rsidRPr="00E014AD">
          <w:fldChar w:fldCharType="separate"/>
        </w:r>
        <w:r w:rsidR="00275A7F">
          <w:rPr>
            <w:noProof/>
          </w:rPr>
          <w:t>4</w:t>
        </w:r>
        <w:r w:rsidRPr="00E014A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1F79BD"/>
    <w:rsid w:val="002341B0"/>
    <w:rsid w:val="00275A7F"/>
    <w:rsid w:val="002A6036"/>
    <w:rsid w:val="003816B9"/>
    <w:rsid w:val="003B5CCE"/>
    <w:rsid w:val="003C799B"/>
    <w:rsid w:val="003E68BF"/>
    <w:rsid w:val="00495F78"/>
    <w:rsid w:val="004A643C"/>
    <w:rsid w:val="005712D2"/>
    <w:rsid w:val="005C5084"/>
    <w:rsid w:val="0066275D"/>
    <w:rsid w:val="006708D0"/>
    <w:rsid w:val="006C2535"/>
    <w:rsid w:val="007F6A48"/>
    <w:rsid w:val="008577C8"/>
    <w:rsid w:val="008714A1"/>
    <w:rsid w:val="008C3AF0"/>
    <w:rsid w:val="008D3519"/>
    <w:rsid w:val="008D4FE4"/>
    <w:rsid w:val="008E69D0"/>
    <w:rsid w:val="0093455E"/>
    <w:rsid w:val="009A4AF3"/>
    <w:rsid w:val="00A022B1"/>
    <w:rsid w:val="00A05A23"/>
    <w:rsid w:val="00A61B42"/>
    <w:rsid w:val="00D4035F"/>
    <w:rsid w:val="00D63084"/>
    <w:rsid w:val="00D647D2"/>
    <w:rsid w:val="00DB6D2A"/>
    <w:rsid w:val="00E26F20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28EDB8-7765-40CD-B98F-696BBF9E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6">
    <w:name w:val="Balloon Text"/>
    <w:basedOn w:val="a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8E6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33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Пономарева Алина Андреевна</cp:lastModifiedBy>
  <cp:revision>7</cp:revision>
  <cp:lastPrinted>2019-05-15T12:22:00Z</cp:lastPrinted>
  <dcterms:created xsi:type="dcterms:W3CDTF">2019-05-07T06:32:00Z</dcterms:created>
  <dcterms:modified xsi:type="dcterms:W3CDTF">2019-09-24T14:54:00Z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