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549B" w:rsidRPr="008A74D5" w:rsidRDefault="006A549B"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 xml:space="preserve">Приложение № 2 </w:t>
      </w:r>
    </w:p>
    <w:p w:rsidR="006A549B" w:rsidRPr="008A74D5" w:rsidRDefault="00164FDB" w:rsidP="00164FDB">
      <w:pPr>
        <w:pStyle w:val="FORMATTEXT"/>
        <w:ind w:left="6372" w:firstLine="708"/>
        <w:jc w:val="center"/>
        <w:rPr>
          <w:rFonts w:ascii="Times New Roman" w:hAnsi="Times New Roman" w:cs="Times New Roman"/>
          <w:sz w:val="24"/>
          <w:szCs w:val="24"/>
        </w:rPr>
      </w:pPr>
      <w:r w:rsidRPr="008A74D5">
        <w:rPr>
          <w:rFonts w:ascii="Times New Roman" w:hAnsi="Times New Roman" w:cs="Times New Roman"/>
          <w:sz w:val="24"/>
          <w:szCs w:val="24"/>
        </w:rPr>
        <w:t xml:space="preserve">   </w:t>
      </w:r>
      <w:r w:rsidR="006A549B" w:rsidRPr="008A74D5">
        <w:rPr>
          <w:rFonts w:ascii="Times New Roman" w:hAnsi="Times New Roman" w:cs="Times New Roman"/>
          <w:sz w:val="24"/>
          <w:szCs w:val="24"/>
        </w:rPr>
        <w:t>к объявлению</w:t>
      </w:r>
    </w:p>
    <w:p w:rsidR="006A549B" w:rsidRPr="008A74D5" w:rsidRDefault="006A549B" w:rsidP="00BA47E9">
      <w:pPr>
        <w:pStyle w:val="FORMATTEXT"/>
        <w:jc w:val="right"/>
        <w:rPr>
          <w:rFonts w:ascii="Times New Roman" w:hAnsi="Times New Roman" w:cs="Times New Roman"/>
          <w:sz w:val="24"/>
          <w:szCs w:val="24"/>
        </w:rPr>
      </w:pPr>
    </w:p>
    <w:p w:rsidR="00206EF7" w:rsidRPr="008A74D5" w:rsidRDefault="00206EF7" w:rsidP="00206EF7">
      <w:pPr>
        <w:spacing w:before="60" w:after="60"/>
        <w:ind w:left="32" w:firstLine="567"/>
        <w:jc w:val="both"/>
        <w:rPr>
          <w:rFonts w:hint="eastAsia"/>
          <w:color w:val="auto"/>
        </w:rPr>
      </w:pPr>
      <w:r w:rsidRPr="008A74D5">
        <w:rPr>
          <w:rFonts w:eastAsiaTheme="minorHAnsi"/>
          <w:color w:val="auto"/>
        </w:rPr>
        <w:t xml:space="preserve">ВЫПИСКА из </w:t>
      </w:r>
      <w:r w:rsidRPr="008A74D5">
        <w:rPr>
          <w:color w:val="auto"/>
        </w:rPr>
        <w:t xml:space="preserve">постановления Правительства Санкт-Петербурга </w:t>
      </w:r>
      <w:r w:rsidRPr="008A74D5">
        <w:rPr>
          <w:color w:val="auto"/>
        </w:rPr>
        <w:br/>
        <w:t xml:space="preserve">от </w:t>
      </w:r>
      <w:r w:rsidR="003E6BAF" w:rsidRPr="008A74D5">
        <w:rPr>
          <w:color w:val="auto"/>
        </w:rPr>
        <w:t>2</w:t>
      </w:r>
      <w:r w:rsidR="008A74D5" w:rsidRPr="008A74D5">
        <w:rPr>
          <w:color w:val="auto"/>
        </w:rPr>
        <w:t>0</w:t>
      </w:r>
      <w:r w:rsidR="003E6BAF" w:rsidRPr="008A74D5">
        <w:rPr>
          <w:color w:val="auto"/>
        </w:rPr>
        <w:t>.03</w:t>
      </w:r>
      <w:r w:rsidR="00321E22" w:rsidRPr="008A74D5">
        <w:rPr>
          <w:color w:val="auto"/>
        </w:rPr>
        <w:t>.202</w:t>
      </w:r>
      <w:r w:rsidR="008A74D5" w:rsidRPr="008A74D5">
        <w:rPr>
          <w:color w:val="auto"/>
        </w:rPr>
        <w:t>5</w:t>
      </w:r>
      <w:r w:rsidRPr="008A74D5">
        <w:rPr>
          <w:color w:val="auto"/>
        </w:rPr>
        <w:t xml:space="preserve"> № </w:t>
      </w:r>
      <w:r w:rsidR="00321E22" w:rsidRPr="008A74D5">
        <w:rPr>
          <w:color w:val="auto"/>
        </w:rPr>
        <w:t>1</w:t>
      </w:r>
      <w:r w:rsidR="008A74D5" w:rsidRPr="008A74D5">
        <w:rPr>
          <w:color w:val="auto"/>
        </w:rPr>
        <w:t>54</w:t>
      </w:r>
      <w:r w:rsidRPr="008A74D5">
        <w:rPr>
          <w:color w:val="auto"/>
        </w:rPr>
        <w:t xml:space="preserve"> «О Порядке предоставления в 202</w:t>
      </w:r>
      <w:r w:rsidR="008A74D5" w:rsidRPr="008A74D5">
        <w:rPr>
          <w:color w:val="auto"/>
        </w:rPr>
        <w:t>5</w:t>
      </w:r>
      <w:r w:rsidRPr="008A74D5">
        <w:rPr>
          <w:color w:val="auto"/>
        </w:rPr>
        <w:t xml:space="preserve">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w:t>
      </w:r>
      <w:r w:rsidR="004A67C8" w:rsidRPr="008A74D5">
        <w:rPr>
          <w:color w:val="auto"/>
        </w:rPr>
        <w:t>гласия и гражданского единства»</w:t>
      </w:r>
    </w:p>
    <w:p w:rsidR="006A549B" w:rsidRPr="008A74D5" w:rsidRDefault="006A549B" w:rsidP="00BA47E9">
      <w:pPr>
        <w:pStyle w:val="FORMATTEXT"/>
        <w:jc w:val="right"/>
        <w:rPr>
          <w:rFonts w:ascii="Times New Roman" w:hAnsi="Times New Roman" w:cs="Times New Roman"/>
          <w:sz w:val="24"/>
          <w:szCs w:val="24"/>
        </w:rPr>
      </w:pP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 xml:space="preserve">Приложение </w:t>
      </w:r>
      <w:r w:rsidR="00206EF7" w:rsidRPr="008A74D5">
        <w:rPr>
          <w:rFonts w:ascii="Times New Roman" w:hAnsi="Times New Roman" w:cs="Times New Roman"/>
          <w:sz w:val="24"/>
          <w:szCs w:val="24"/>
        </w:rPr>
        <w:t>№</w:t>
      </w:r>
      <w:r w:rsidRPr="008A74D5">
        <w:rPr>
          <w:rFonts w:ascii="Times New Roman" w:hAnsi="Times New Roman" w:cs="Times New Roman"/>
          <w:sz w:val="24"/>
          <w:szCs w:val="24"/>
        </w:rPr>
        <w:t xml:space="preserve"> 2</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к Порядку предоставления в 202</w:t>
      </w:r>
      <w:r w:rsidR="008A74D5" w:rsidRPr="008A74D5">
        <w:rPr>
          <w:rFonts w:ascii="Times New Roman" w:hAnsi="Times New Roman" w:cs="Times New Roman"/>
          <w:sz w:val="24"/>
          <w:szCs w:val="24"/>
        </w:rPr>
        <w:t>5</w:t>
      </w:r>
      <w:r w:rsidRPr="008A74D5">
        <w:rPr>
          <w:rFonts w:ascii="Times New Roman" w:hAnsi="Times New Roman" w:cs="Times New Roman"/>
          <w:sz w:val="24"/>
          <w:szCs w:val="24"/>
        </w:rPr>
        <w:t xml:space="preserve"> году</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субсидий социально ориентированным</w:t>
      </w:r>
    </w:p>
    <w:p w:rsidR="00BA47E9" w:rsidRPr="008A74D5" w:rsidRDefault="00BA47E9" w:rsidP="00321E22">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 xml:space="preserve">некоммерческим организациям </w:t>
      </w:r>
      <w:r w:rsidR="00321E22" w:rsidRPr="008A74D5">
        <w:rPr>
          <w:rFonts w:ascii="Times New Roman" w:hAnsi="Times New Roman" w:cs="Times New Roman"/>
          <w:sz w:val="24"/>
          <w:szCs w:val="24"/>
        </w:rPr>
        <w:br/>
      </w:r>
      <w:r w:rsidRPr="008A74D5">
        <w:rPr>
          <w:rFonts w:ascii="Times New Roman" w:hAnsi="Times New Roman" w:cs="Times New Roman"/>
          <w:sz w:val="24"/>
          <w:szCs w:val="24"/>
        </w:rPr>
        <w:t>на</w:t>
      </w:r>
      <w:r w:rsidR="00321E22" w:rsidRPr="008A74D5">
        <w:rPr>
          <w:rFonts w:ascii="Times New Roman" w:hAnsi="Times New Roman" w:cs="Times New Roman"/>
          <w:sz w:val="24"/>
          <w:szCs w:val="24"/>
        </w:rPr>
        <w:t xml:space="preserve"> </w:t>
      </w:r>
      <w:r w:rsidRPr="008A74D5">
        <w:rPr>
          <w:rFonts w:ascii="Times New Roman" w:hAnsi="Times New Roman" w:cs="Times New Roman"/>
          <w:sz w:val="24"/>
          <w:szCs w:val="24"/>
        </w:rPr>
        <w:t>реализацию мероприятий, направленных</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на бытовую, языковую и социокультурную</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адаптацию мигрантов, профилактику</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экстремизма, укрепление межнационального</w:t>
      </w:r>
    </w:p>
    <w:p w:rsidR="00BA47E9" w:rsidRPr="008A74D5" w:rsidRDefault="00BA47E9" w:rsidP="00BA47E9">
      <w:pPr>
        <w:pStyle w:val="FORMATTEXT"/>
        <w:jc w:val="right"/>
        <w:rPr>
          <w:rFonts w:ascii="Times New Roman" w:hAnsi="Times New Roman" w:cs="Times New Roman"/>
          <w:sz w:val="24"/>
          <w:szCs w:val="24"/>
        </w:rPr>
      </w:pPr>
      <w:r w:rsidRPr="008A74D5">
        <w:rPr>
          <w:rFonts w:ascii="Times New Roman" w:hAnsi="Times New Roman" w:cs="Times New Roman"/>
          <w:sz w:val="24"/>
          <w:szCs w:val="24"/>
        </w:rPr>
        <w:t xml:space="preserve">согласия и гражданского единства </w:t>
      </w:r>
    </w:p>
    <w:p w:rsidR="00BA47E9" w:rsidRPr="008A74D5" w:rsidRDefault="00BA47E9" w:rsidP="00BA47E9">
      <w:pPr>
        <w:pStyle w:val="HEADERTEXT"/>
        <w:rPr>
          <w:rFonts w:ascii="Times New Roman" w:hAnsi="Times New Roman" w:cs="Times New Roman"/>
          <w:b/>
          <w:bCs/>
          <w:color w:val="auto"/>
          <w:sz w:val="24"/>
          <w:szCs w:val="24"/>
        </w:rPr>
      </w:pPr>
    </w:p>
    <w:p w:rsidR="004A67C8" w:rsidRPr="008A74D5" w:rsidRDefault="00BA47E9" w:rsidP="009426E6">
      <w:pPr>
        <w:pStyle w:val="HEADERTEXT"/>
        <w:jc w:val="center"/>
        <w:rPr>
          <w:rFonts w:ascii="Times New Roman" w:hAnsi="Times New Roman" w:cs="Times New Roman"/>
          <w:b/>
          <w:bCs/>
          <w:color w:val="auto"/>
          <w:sz w:val="24"/>
          <w:szCs w:val="24"/>
        </w:rPr>
      </w:pPr>
      <w:r w:rsidRPr="008A74D5">
        <w:rPr>
          <w:rFonts w:ascii="Times New Roman" w:hAnsi="Times New Roman" w:cs="Times New Roman"/>
          <w:b/>
          <w:bCs/>
          <w:color w:val="auto"/>
          <w:sz w:val="24"/>
          <w:szCs w:val="24"/>
        </w:rPr>
        <w:t>П</w:t>
      </w:r>
      <w:r w:rsidR="004A67C8" w:rsidRPr="008A74D5">
        <w:rPr>
          <w:rFonts w:ascii="Times New Roman" w:hAnsi="Times New Roman" w:cs="Times New Roman"/>
          <w:b/>
          <w:bCs/>
          <w:color w:val="auto"/>
          <w:sz w:val="24"/>
          <w:szCs w:val="24"/>
        </w:rPr>
        <w:t>ЕРЕЧЕНЬ</w:t>
      </w:r>
    </w:p>
    <w:p w:rsidR="004A67C8" w:rsidRPr="008A74D5" w:rsidRDefault="00BA47E9" w:rsidP="009426E6">
      <w:pPr>
        <w:pStyle w:val="HEADERTEXT"/>
        <w:jc w:val="center"/>
        <w:rPr>
          <w:rFonts w:ascii="Times New Roman" w:hAnsi="Times New Roman" w:cs="Times New Roman"/>
          <w:b/>
          <w:bCs/>
          <w:color w:val="auto"/>
          <w:sz w:val="24"/>
          <w:szCs w:val="24"/>
        </w:rPr>
      </w:pPr>
      <w:r w:rsidRPr="008A74D5">
        <w:rPr>
          <w:rFonts w:ascii="Times New Roman" w:hAnsi="Times New Roman" w:cs="Times New Roman"/>
          <w:b/>
          <w:bCs/>
          <w:color w:val="auto"/>
          <w:sz w:val="24"/>
          <w:szCs w:val="24"/>
        </w:rPr>
        <w:t>документов на предоставление субсидий</w:t>
      </w:r>
      <w:r w:rsidR="00321E22" w:rsidRPr="008A74D5">
        <w:rPr>
          <w:rFonts w:ascii="Times New Roman" w:hAnsi="Times New Roman" w:cs="Times New Roman"/>
          <w:b/>
          <w:bCs/>
          <w:color w:val="auto"/>
          <w:sz w:val="24"/>
          <w:szCs w:val="24"/>
        </w:rPr>
        <w:t xml:space="preserve"> социально</w:t>
      </w:r>
      <w:r w:rsidRPr="008A74D5">
        <w:rPr>
          <w:rFonts w:ascii="Times New Roman" w:hAnsi="Times New Roman" w:cs="Times New Roman"/>
          <w:b/>
          <w:bCs/>
          <w:color w:val="auto"/>
          <w:sz w:val="24"/>
          <w:szCs w:val="24"/>
        </w:rPr>
        <w:t xml:space="preserve"> </w:t>
      </w:r>
      <w:r w:rsidR="00321E22" w:rsidRPr="008A74D5">
        <w:rPr>
          <w:rFonts w:ascii="Times New Roman" w:hAnsi="Times New Roman" w:cs="Times New Roman"/>
          <w:b/>
          <w:bCs/>
          <w:color w:val="auto"/>
          <w:sz w:val="24"/>
          <w:szCs w:val="24"/>
        </w:rPr>
        <w:t xml:space="preserve">ориентированным некоммерческим организациям на реализацию мероприятий, направленных </w:t>
      </w:r>
      <w:r w:rsidR="00321E22" w:rsidRPr="008A74D5">
        <w:rPr>
          <w:rFonts w:ascii="Times New Roman" w:hAnsi="Times New Roman" w:cs="Times New Roman"/>
          <w:b/>
          <w:bCs/>
          <w:color w:val="auto"/>
          <w:sz w:val="24"/>
          <w:szCs w:val="24"/>
        </w:rPr>
        <w:br/>
        <w:t>на бытовую, языковую и социокультур</w:t>
      </w:r>
      <w:bookmarkStart w:id="0" w:name="_GoBack"/>
      <w:bookmarkEnd w:id="0"/>
      <w:r w:rsidR="00321E22" w:rsidRPr="008A74D5">
        <w:rPr>
          <w:rFonts w:ascii="Times New Roman" w:hAnsi="Times New Roman" w:cs="Times New Roman"/>
          <w:b/>
          <w:bCs/>
          <w:color w:val="auto"/>
          <w:sz w:val="24"/>
          <w:szCs w:val="24"/>
        </w:rPr>
        <w:t xml:space="preserve">ную адаптацию мигрантов, профилактику экстремизма, укрепление межнационального согласия и гражданского единства, </w:t>
      </w:r>
      <w:r w:rsidR="00321E22" w:rsidRPr="008A74D5">
        <w:rPr>
          <w:rFonts w:ascii="Times New Roman" w:hAnsi="Times New Roman" w:cs="Times New Roman"/>
          <w:b/>
          <w:bCs/>
          <w:color w:val="auto"/>
          <w:sz w:val="24"/>
          <w:szCs w:val="24"/>
        </w:rPr>
        <w:br/>
      </w:r>
      <w:r w:rsidRPr="008A74D5">
        <w:rPr>
          <w:rFonts w:ascii="Times New Roman" w:hAnsi="Times New Roman" w:cs="Times New Roman"/>
          <w:b/>
          <w:bCs/>
          <w:color w:val="auto"/>
          <w:sz w:val="24"/>
          <w:szCs w:val="24"/>
        </w:rPr>
        <w:t>и требования к ним</w:t>
      </w:r>
    </w:p>
    <w:p w:rsidR="00BA47E9" w:rsidRPr="008A74D5" w:rsidRDefault="00BA47E9" w:rsidP="009426E6">
      <w:pPr>
        <w:pStyle w:val="HEADERTEXT"/>
        <w:jc w:val="center"/>
        <w:rPr>
          <w:rFonts w:ascii="Times New Roman" w:hAnsi="Times New Roman" w:cs="Times New Roman"/>
          <w:b/>
          <w:bCs/>
          <w:color w:val="auto"/>
          <w:sz w:val="24"/>
          <w:szCs w:val="24"/>
        </w:rPr>
      </w:pPr>
      <w:r w:rsidRPr="008A74D5">
        <w:rPr>
          <w:rFonts w:ascii="Times New Roman" w:hAnsi="Times New Roman" w:cs="Times New Roman"/>
          <w:b/>
          <w:bCs/>
          <w:color w:val="auto"/>
          <w:sz w:val="24"/>
          <w:szCs w:val="24"/>
        </w:rPr>
        <w:t xml:space="preserve"> </w:t>
      </w:r>
    </w:p>
    <w:p w:rsidR="008A74D5" w:rsidRPr="008A74D5" w:rsidRDefault="008A74D5" w:rsidP="008A74D5">
      <w:pPr>
        <w:pStyle w:val="ConsPlusNormal"/>
        <w:jc w:val="center"/>
      </w:pPr>
    </w:p>
    <w:p w:rsidR="008A74D5" w:rsidRPr="008A74D5" w:rsidRDefault="008A74D5" w:rsidP="008A74D5">
      <w:pPr>
        <w:pStyle w:val="ConsPlusNormal"/>
        <w:ind w:firstLine="540"/>
        <w:jc w:val="both"/>
      </w:pPr>
      <w:r w:rsidRPr="008A74D5">
        <w:t>1. В целях участия в конкурсном отборе на право получения в 2025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социально ориентированные некоммерческие организации вместе с заявкой на участие в конкурсном отборе (далее - заявка) представляют следующие документы:</w:t>
      </w:r>
    </w:p>
    <w:p w:rsidR="008A74D5" w:rsidRPr="008A74D5" w:rsidRDefault="008A74D5" w:rsidP="008A74D5">
      <w:pPr>
        <w:pStyle w:val="ConsPlusNormal"/>
        <w:spacing w:before="240"/>
        <w:ind w:firstLine="540"/>
        <w:jc w:val="both"/>
      </w:pPr>
      <w:r w:rsidRPr="008A74D5">
        <w:t>1.1. Учредительные документы (со всеми изменениями) участника конкурсного отбора.</w:t>
      </w:r>
    </w:p>
    <w:p w:rsidR="008A74D5" w:rsidRPr="008A74D5" w:rsidRDefault="008A74D5" w:rsidP="008A74D5">
      <w:pPr>
        <w:pStyle w:val="ConsPlusNormal"/>
        <w:spacing w:before="240"/>
        <w:ind w:firstLine="540"/>
        <w:jc w:val="both"/>
      </w:pPr>
      <w:r w:rsidRPr="008A74D5">
        <w:t>1.2. Выписка из Единого государственного реестра юридических лиц, сформированная выдавшим ее налоговым органом в 2025 году.</w:t>
      </w:r>
    </w:p>
    <w:p w:rsidR="008A74D5" w:rsidRPr="008A74D5" w:rsidRDefault="008A74D5" w:rsidP="008A74D5">
      <w:pPr>
        <w:pStyle w:val="ConsPlusNormal"/>
        <w:spacing w:before="240"/>
        <w:ind w:firstLine="540"/>
        <w:jc w:val="both"/>
      </w:pPr>
      <w:r w:rsidRPr="008A74D5">
        <w:t>1.3. Документы, подтверждающего назначение (избрание) на должность руководителя участника конкурсного отбора или подтверждающие полномочия иного единоличного или коллегиального исполнительного органа участника отбора.</w:t>
      </w:r>
    </w:p>
    <w:p w:rsidR="008A74D5" w:rsidRPr="008A74D5" w:rsidRDefault="008A74D5" w:rsidP="008A74D5">
      <w:pPr>
        <w:pStyle w:val="ConsPlusNormal"/>
        <w:spacing w:before="240"/>
        <w:ind w:firstLine="540"/>
        <w:jc w:val="both"/>
      </w:pPr>
      <w:r w:rsidRPr="008A74D5">
        <w:t>1.4. Свидетельство о постановке организации на учет в налоговом органе.</w:t>
      </w:r>
    </w:p>
    <w:p w:rsidR="008A74D5" w:rsidRPr="008A74D5" w:rsidRDefault="008A74D5" w:rsidP="008A74D5">
      <w:pPr>
        <w:pStyle w:val="ConsPlusNormal"/>
        <w:spacing w:before="240"/>
        <w:ind w:firstLine="540"/>
        <w:jc w:val="both"/>
      </w:pPr>
      <w:r w:rsidRPr="008A74D5">
        <w:t>1.5. Справка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по форме, утвержденной Федеральной налоговой службой, выданная на дату не ранее 30 календарных дней до даты подачи заявки и документов на участие в конкурсном отборе на получение субсидии.</w:t>
      </w:r>
    </w:p>
    <w:p w:rsidR="008A74D5" w:rsidRPr="008A74D5" w:rsidRDefault="008A74D5" w:rsidP="008A74D5">
      <w:pPr>
        <w:pStyle w:val="ConsPlusNormal"/>
        <w:spacing w:before="240"/>
        <w:ind w:firstLine="540"/>
        <w:jc w:val="both"/>
      </w:pPr>
      <w:r w:rsidRPr="008A74D5">
        <w:lastRenderedPageBreak/>
        <w:t>1.6. Справка, выданная налоговым органом, об отсутствии на дату не ранее 30 календарных дней до 1 числа месяца, в котором планируется проведение конкурсного отбора, в реестре дисквалифицированных лиц сведений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конкурсного отбора по форме, утвержденной приказом Федеральной налоговой службы.</w:t>
      </w:r>
    </w:p>
    <w:p w:rsidR="008A74D5" w:rsidRPr="008A74D5" w:rsidRDefault="008A74D5" w:rsidP="008A74D5">
      <w:pPr>
        <w:pStyle w:val="ConsPlusNormal"/>
        <w:spacing w:before="240"/>
        <w:ind w:firstLine="540"/>
        <w:jc w:val="both"/>
      </w:pPr>
      <w:r w:rsidRPr="008A74D5">
        <w:t>1.7. Справки (в свободной форме), подписанные руководителем (уполномоченным лицом) и заверенные печатью участника конкурсного отбора (при наличии), подтверждающие следующее:</w:t>
      </w:r>
    </w:p>
    <w:p w:rsidR="008A74D5" w:rsidRPr="008A74D5" w:rsidRDefault="008A74D5" w:rsidP="008A74D5">
      <w:pPr>
        <w:pStyle w:val="ConsPlusNormal"/>
        <w:spacing w:before="240"/>
        <w:ind w:firstLine="540"/>
        <w:jc w:val="both"/>
      </w:pPr>
      <w:r w:rsidRPr="008A74D5">
        <w:t>у участника конкурсного отбора отсутствуют иные средства из бюджета Санкт-Петербурга на финансовое обеспечение (возмещение) затрат;</w:t>
      </w:r>
    </w:p>
    <w:p w:rsidR="008A74D5" w:rsidRPr="008A74D5" w:rsidRDefault="008A74D5" w:rsidP="008A74D5">
      <w:pPr>
        <w:pStyle w:val="ConsPlusNormal"/>
        <w:spacing w:before="240"/>
        <w:ind w:firstLine="540"/>
        <w:jc w:val="both"/>
      </w:pPr>
      <w:r w:rsidRPr="008A74D5">
        <w:t>участник конкурсного отбора на 1 число месяца, предшествующего месяцу, в котором планируется заключение соглашения о предоставлении субсидии (далее - соглашение), не находится в процессе реорганизации (за исключением реорганизации в форме присоединения к юридическому лицу, являющемуся участником конкурсного отбора, другого юридического лица), ликвидации, в отношении его не введена процедура банкротства, деятельность участника конкурсного отбора не приостановлена в порядке, предусмотренном законодательством Российской Федерации;</w:t>
      </w:r>
    </w:p>
    <w:p w:rsidR="008A74D5" w:rsidRPr="008A74D5" w:rsidRDefault="008A74D5" w:rsidP="008A74D5">
      <w:pPr>
        <w:pStyle w:val="ConsPlusNormal"/>
        <w:spacing w:before="240"/>
        <w:ind w:firstLine="540"/>
        <w:jc w:val="both"/>
      </w:pPr>
      <w:r w:rsidRPr="008A74D5">
        <w:t xml:space="preserve">у участника конкурсного отбора на дату не ранее 30 календарных дней до 1 числа месяца, в котором планируется проведение конкурсного отбора на получение субсидий, отсутствует просроченная задолженность по возврату в бюджет Санкт-Петербурга иных субсидий, бюджетных инвестиций, а также иная просроченная (неурегулированная) задолженность по денежным обязательствам перед Санкт-Петербургом. Проверка соответствия информации, содержащейся в указанной справке, осуществляется посредством установления факта отсутствия информации об участнике конкурсного отбора в публичном реестре должников Санкт-Петербурга, </w:t>
      </w:r>
      <w:hyperlink r:id="rId6" w:tooltip="Постановление Правительства Санкт-Петербурга от 28.06.2021 N 426 (ред. от 17.01.2025) &quot;Об утверждении Порядка ведения публичного реестра должников&quot; {КонсультантПлюс}">
        <w:r w:rsidRPr="008A74D5">
          <w:t>порядок</w:t>
        </w:r>
      </w:hyperlink>
      <w:r w:rsidRPr="008A74D5">
        <w:t xml:space="preserve"> ведения которого утвержден постановлением Правительства Санкт-Петербурга от 28.06.2021 N 426 "Об утверждении Порядка ведения публичного реестра должников";</w:t>
      </w:r>
    </w:p>
    <w:p w:rsidR="008A74D5" w:rsidRPr="008A74D5" w:rsidRDefault="008A74D5" w:rsidP="008A74D5">
      <w:pPr>
        <w:pStyle w:val="ConsPlusNormal"/>
        <w:spacing w:before="240"/>
        <w:ind w:firstLine="540"/>
        <w:jc w:val="both"/>
      </w:pPr>
      <w:r w:rsidRPr="008A74D5">
        <w:t>у участника конкурсного отбора отсутствуют нарушения бюджетного законодательства Российской Федерации, иных нормативных правовых актов, регулирующих бюджетные правоотношения, и договоров (соглашений), на основании которых предоставляются средства из бюджета бюджетной системы Российской Федерации, при использовании денежных средств, предоставляемых из бюджета Санкт-Петербурга, за период не менее одного года, предшествующего году получения субсидий, по которым не исполнены требования Комитета или КГФК о возврате средств в бюджет Санкт-Петербурга и(или) вступило в силу постановление о назначении административного наказания;</w:t>
      </w:r>
    </w:p>
    <w:p w:rsidR="008A74D5" w:rsidRPr="008A74D5" w:rsidRDefault="008A74D5" w:rsidP="008A74D5">
      <w:pPr>
        <w:pStyle w:val="ConsPlusNormal"/>
        <w:spacing w:before="240"/>
        <w:ind w:firstLine="540"/>
        <w:jc w:val="both"/>
      </w:pPr>
      <w:r w:rsidRPr="008A74D5">
        <w:t>участник конкурсного отбора на 1 число месяца, предшествующего месяцу, в котором планируется заключение соглашения,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8A74D5" w:rsidRPr="008A74D5" w:rsidRDefault="008A74D5" w:rsidP="008A74D5">
      <w:pPr>
        <w:pStyle w:val="ConsPlusNormal"/>
        <w:spacing w:before="240"/>
        <w:ind w:firstLine="540"/>
        <w:jc w:val="both"/>
      </w:pPr>
      <w:r w:rsidRPr="008A74D5">
        <w:lastRenderedPageBreak/>
        <w:t xml:space="preserve">участник конкурсного отбора на 1 число месяца, предшествующего месяцу, в котором планируется заключение соглашения, не получает средства из бюджета Санкт-Петербурга в соответствии с иными нормативными правовыми актами на цели, указанные в </w:t>
      </w:r>
      <w:hyperlink w:anchor="P59" w:tooltip="3. Субсидии предоставляются социально ориентированным некоммерческим организациям (за исключением государственных (муниципальных) учреждений), осуществляющим в соответствии с учредительными документами один из следующих видов деятельности, предусмотренных в ст">
        <w:r w:rsidRPr="008A74D5">
          <w:t>пункте 3</w:t>
        </w:r>
      </w:hyperlink>
      <w:r w:rsidRPr="008A74D5">
        <w:t xml:space="preserve"> Порядка предоставления в 2025 году субсидий социально ориентированным некоммерческим организациям на реализацию мероприятий, направленных на бытовую, языковую и социокультурную адаптацию мигрантов, профилактику экстремизма, укрепление межнационального согласия и гражданского единства, утвержденного настоящим постановлением (далее - Порядок);</w:t>
      </w:r>
    </w:p>
    <w:p w:rsidR="008A74D5" w:rsidRPr="008A74D5" w:rsidRDefault="008A74D5" w:rsidP="008A74D5">
      <w:pPr>
        <w:pStyle w:val="ConsPlusNormal"/>
        <w:spacing w:before="240"/>
        <w:ind w:firstLine="540"/>
        <w:jc w:val="both"/>
      </w:pPr>
      <w:r w:rsidRPr="008A74D5">
        <w:t>участник конкурсного отбора на 1 число месяца, предшествующего месяцу, в котором планируется заключение соглашения, не находится в составляемых в рамках реализации полномочий, предусмотренных в главе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8A74D5" w:rsidRPr="008A74D5" w:rsidRDefault="008A74D5" w:rsidP="008A74D5">
      <w:pPr>
        <w:pStyle w:val="ConsPlusNormal"/>
        <w:spacing w:before="240"/>
        <w:ind w:firstLine="540"/>
        <w:jc w:val="both"/>
      </w:pPr>
      <w:r w:rsidRPr="008A74D5">
        <w:t xml:space="preserve">участник конкурсного отбора на 1 число месяца, предшествующего месяцу, в котором планируется заключение соглашения, не является иностранным агентом в соответствии с Федеральным </w:t>
      </w:r>
      <w:hyperlink r:id="rId7" w:tooltip="Федеральный закон от 14.07.2022 N 255-ФЗ (ред. от 21.04.2025) &quot;О контроле за деятельностью лиц, находящихся под иностранным влиянием&quot; {КонсультантПлюс}">
        <w:r w:rsidRPr="008A74D5">
          <w:t>законом</w:t>
        </w:r>
      </w:hyperlink>
      <w:r w:rsidRPr="008A74D5">
        <w:t xml:space="preserve"> "О контроле за деятельностью лиц, находящихся под иностранным влиянием";</w:t>
      </w:r>
    </w:p>
    <w:p w:rsidR="008A74D5" w:rsidRPr="008A74D5" w:rsidRDefault="008A74D5" w:rsidP="008A74D5">
      <w:pPr>
        <w:pStyle w:val="ConsPlusNormal"/>
        <w:spacing w:before="240"/>
        <w:ind w:firstLine="540"/>
        <w:jc w:val="both"/>
      </w:pPr>
      <w:r w:rsidRPr="008A74D5">
        <w:t>участник конкурсного отбора на 1 число месяца, предшествующего месяцу, в котором планируется заключение соглашения,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8A74D5" w:rsidRPr="008A74D5" w:rsidRDefault="008A74D5" w:rsidP="008A74D5">
      <w:pPr>
        <w:pStyle w:val="ConsPlusNormal"/>
        <w:spacing w:before="240"/>
        <w:ind w:firstLine="540"/>
        <w:jc w:val="both"/>
      </w:pPr>
      <w:r w:rsidRPr="008A74D5">
        <w:t xml:space="preserve">размер средней заработной платы каждого работника участника конкурсного отбора (включая обособленные подразделения, находящиеся на территории Санкт-Петербурга), рассчитываемый в соответствии со </w:t>
      </w:r>
      <w:hyperlink r:id="rId8" w:tooltip="&quot;Трудовой кодекс Российской Федерации&quot; от 30.12.2001 N 197-ФЗ (ред. от 07.04.2025) {КонсультантПлюс}">
        <w:r w:rsidRPr="008A74D5">
          <w:t>статьей 139</w:t>
        </w:r>
      </w:hyperlink>
      <w:r w:rsidRPr="008A74D5">
        <w:t xml:space="preserve"> Трудового кодекса Российской Федерации, в течение 2024 года был не ниже размера минимальной заработной платы в Санкт-Петербурге, установленного региональным соглашением о минимальной заработной плате в Санкт-Петербурге на соответствующий период 2024 года, с приложением расчета сумм налога на доходы физических лиц, исчисленных и удержанных налоговым агентом (форма 6-НДФЛ), и расчета по страховым взносам по формам, утвержденным Федеральной налоговой службой, за 2024 год (без разделов, содержащих персональные данные физических лиц).</w:t>
      </w:r>
    </w:p>
    <w:p w:rsidR="008A74D5" w:rsidRPr="008A74D5" w:rsidRDefault="008A74D5" w:rsidP="008A74D5">
      <w:pPr>
        <w:pStyle w:val="ConsPlusNormal"/>
        <w:spacing w:before="240"/>
        <w:ind w:firstLine="540"/>
        <w:jc w:val="both"/>
      </w:pPr>
      <w:r w:rsidRPr="008A74D5">
        <w:t xml:space="preserve">1.8. Согласие участника конкурсного отбора (в свободной форме), подписанное руководителем или уполномоченным лицом и заверенное печатью участника конкурсного отбора (при наличии), на осуществление в отношении его Комитетом проверок, в том числе в части достижения результата, а также проверок органами государственного финансового контроля в соответствии со </w:t>
      </w:r>
      <w:hyperlink r:id="rId9" w:tooltip="&quot;Бюджетный кодекс Российской Федерации&quot; от 31.07.1998 N 145-ФЗ (ред. от 21.04.2025) {КонсультантПлюс}">
        <w:r w:rsidRPr="008A74D5">
          <w:t>статьями 268.1</w:t>
        </w:r>
      </w:hyperlink>
      <w:r w:rsidRPr="008A74D5">
        <w:t xml:space="preserve"> и </w:t>
      </w:r>
      <w:hyperlink r:id="rId10" w:tooltip="&quot;Бюджетный кодекс Российской Федерации&quot; от 31.07.1998 N 145-ФЗ (ред. от 21.04.2025) {КонсультантПлюс}">
        <w:r w:rsidRPr="008A74D5">
          <w:t>269.2</w:t>
        </w:r>
      </w:hyperlink>
      <w:r w:rsidRPr="008A74D5">
        <w:t xml:space="preserve"> Бюджетного кодекса Российской Федерации и на включение таких положений в соглашение.</w:t>
      </w:r>
    </w:p>
    <w:p w:rsidR="008A74D5" w:rsidRPr="008A74D5" w:rsidRDefault="008A74D5" w:rsidP="008A74D5">
      <w:pPr>
        <w:pStyle w:val="ConsPlusNormal"/>
        <w:spacing w:before="240"/>
        <w:ind w:firstLine="540"/>
        <w:jc w:val="both"/>
      </w:pPr>
      <w:r w:rsidRPr="008A74D5">
        <w:t xml:space="preserve">Обязательство получателя субсидии (в свободной форме), подписанное руководителем или уполномоченным лицом и заверенное печатью участника конкурсного отбора (при наличии), обеспечить представление согласия контрагентов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в отношении их Комитетом проверок, в том числе в части достижения результата, а также проверок органами государственного финансового контроля в соответствии со </w:t>
      </w:r>
      <w:hyperlink r:id="rId11" w:tooltip="&quot;Бюджетный кодекс Российской Федерации&quot; от 31.07.1998 N 145-ФЗ (ред. от 21.04.2025) {КонсультантПлюс}">
        <w:r w:rsidRPr="008A74D5">
          <w:t>статьями 268.1</w:t>
        </w:r>
      </w:hyperlink>
      <w:r w:rsidRPr="008A74D5">
        <w:t xml:space="preserve"> и </w:t>
      </w:r>
      <w:hyperlink r:id="rId12" w:tooltip="&quot;Бюджетный кодекс Российской Федерации&quot; от 31.07.1998 N 145-ФЗ (ред. от 21.04.2025) {КонсультантПлюс}">
        <w:r w:rsidRPr="008A74D5">
          <w:t>269.2</w:t>
        </w:r>
      </w:hyperlink>
      <w:r w:rsidRPr="008A74D5">
        <w:t xml:space="preserve"> </w:t>
      </w:r>
      <w:r w:rsidRPr="008A74D5">
        <w:lastRenderedPageBreak/>
        <w:t>Бюджетного кодекса Российской Федерации и на включение таких положений в соглашение.</w:t>
      </w:r>
    </w:p>
    <w:p w:rsidR="008A74D5" w:rsidRPr="008A74D5" w:rsidRDefault="008A74D5" w:rsidP="008A74D5">
      <w:pPr>
        <w:pStyle w:val="ConsPlusNormal"/>
        <w:spacing w:before="240"/>
        <w:ind w:firstLine="540"/>
        <w:jc w:val="both"/>
      </w:pPr>
      <w:r w:rsidRPr="008A74D5">
        <w:t xml:space="preserve">1.9. Гарантийное письмо участника конкурсного отбора (в свободной форме), подписанное руководителем или уполномоченным лицом и заверенное печатью участника конкурсного отбора (при наличии) о </w:t>
      </w:r>
      <w:proofErr w:type="spellStart"/>
      <w:r w:rsidRPr="008A74D5">
        <w:t>неприобретении</w:t>
      </w:r>
      <w:proofErr w:type="spellEnd"/>
      <w:r w:rsidRPr="008A74D5">
        <w:t xml:space="preserve"> за счет средств субсидий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товаров, работ, услуг, приобретаемых получателем субсидий в целях проведения мероприятий у поставщиков (исполнителей), являющихся нерезидентами в соответствии с Федеральным </w:t>
      </w:r>
      <w:hyperlink r:id="rId13" w:tooltip="Федеральный закон от 10.12.2003 N 173-ФЗ (ред. от 08.08.2024) &quot;О валютном регулировании и валютном контроле&quot; (с изм. и доп., вступ. в силу с 01.09.2024) {КонсультантПлюс}">
        <w:r w:rsidRPr="008A74D5">
          <w:t>законом</w:t>
        </w:r>
      </w:hyperlink>
      <w:r w:rsidRPr="008A74D5">
        <w:t xml:space="preserve"> "О валютном регулировании и валютном контроле". Гарантийное письмо также должно содержать обязательство участника конкурсного отбора об обеспечении </w:t>
      </w:r>
      <w:proofErr w:type="spellStart"/>
      <w:r w:rsidRPr="008A74D5">
        <w:t>неприобретения</w:t>
      </w:r>
      <w:proofErr w:type="spellEnd"/>
      <w:r w:rsidRPr="008A74D5">
        <w:t xml:space="preserve"> контрагентами - юридическими лицами за счет полученных средств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товаров, работ, услуг, приобретаемых ими в целях проведения мероприятий у поставщиков (исполнителей), являющихся нерезидентами в соответствии с Федеральным </w:t>
      </w:r>
      <w:hyperlink r:id="rId14" w:tooltip="Федеральный закон от 10.12.2003 N 173-ФЗ (ред. от 08.08.2024) &quot;О валютном регулировании и валютном контроле&quot; (с изм. и доп., вступ. в силу с 01.09.2024) {КонсультантПлюс}">
        <w:r w:rsidRPr="008A74D5">
          <w:t>законом</w:t>
        </w:r>
      </w:hyperlink>
      <w:r w:rsidRPr="008A74D5">
        <w:t xml:space="preserve"> "О валютном регулировании и валютном контроле".</w:t>
      </w:r>
    </w:p>
    <w:p w:rsidR="008A74D5" w:rsidRPr="008A74D5" w:rsidRDefault="008A74D5" w:rsidP="008A74D5">
      <w:pPr>
        <w:pStyle w:val="ConsPlusNormal"/>
        <w:spacing w:before="240"/>
        <w:ind w:firstLine="540"/>
        <w:jc w:val="both"/>
      </w:pPr>
      <w:r w:rsidRPr="008A74D5">
        <w:t>1.10. Программа реализации мероприятия, подписанная руководителем (уполномоченным лицом) и заверенная печатью участника конкурсного отбора (при наличии) (в свободной форме).</w:t>
      </w:r>
    </w:p>
    <w:p w:rsidR="008A74D5" w:rsidRPr="008A74D5" w:rsidRDefault="008A74D5" w:rsidP="008A74D5">
      <w:pPr>
        <w:pStyle w:val="ConsPlusNormal"/>
        <w:spacing w:before="240"/>
        <w:ind w:firstLine="540"/>
        <w:jc w:val="both"/>
      </w:pPr>
      <w:r w:rsidRPr="008A74D5">
        <w:t>1.11. Документы, подтверждающие реализацию на территории Санкт-Петербурга аналогичных мероприятий в течение пяти календарных лет, предшествующих году предоставления субсидий (в случае наличия опыта проведения аналогичных мероприятий в течение указанного периода) (в свободной форме).</w:t>
      </w:r>
    </w:p>
    <w:p w:rsidR="008A74D5" w:rsidRPr="008A74D5" w:rsidRDefault="008A74D5" w:rsidP="008A74D5">
      <w:pPr>
        <w:pStyle w:val="ConsPlusNormal"/>
        <w:spacing w:before="240"/>
        <w:ind w:firstLine="540"/>
        <w:jc w:val="both"/>
      </w:pPr>
      <w:r w:rsidRPr="008A74D5">
        <w:t>1.12. Предварительный расчет затрат и обоснование планируемых затрат, в том числе методом сопоставимых рыночных цен на основании информации о ценах на идентичные услуги, с указанием источников и приложением указанной информации.</w:t>
      </w:r>
    </w:p>
    <w:p w:rsidR="008A74D5" w:rsidRPr="008A74D5" w:rsidRDefault="008A74D5" w:rsidP="008A74D5">
      <w:pPr>
        <w:pStyle w:val="ConsPlusNormal"/>
        <w:spacing w:before="240"/>
        <w:ind w:firstLine="540"/>
        <w:jc w:val="both"/>
      </w:pPr>
      <w:r w:rsidRPr="008A74D5">
        <w:t>1.13. Согласие на возврат в бюджет Санкт-Петербурга в срок, определенный Комитетом, остатков субсидий, не использованных в отчетном финансовом году, подписанное руководителем (уполномоченным лицом) и заверенное печатью участника конкурсного отбора (при наличии).</w:t>
      </w:r>
    </w:p>
    <w:p w:rsidR="008A74D5" w:rsidRPr="008A74D5" w:rsidRDefault="008A74D5" w:rsidP="008A74D5">
      <w:pPr>
        <w:pStyle w:val="ConsPlusNormal"/>
        <w:spacing w:before="240"/>
        <w:ind w:firstLine="540"/>
        <w:jc w:val="both"/>
      </w:pPr>
      <w:r w:rsidRPr="008A74D5">
        <w:t>1.14. Согласие на публикацию (размещение) в Автоматизированной информационной системе бюджетного процесса - электронном казначействе в подсистеме "Площадка отбора получателей субсидий" и на веб-странице Комитета на официальном сайте Администрации Санкт-Петербурга в информационно-телекоммуникационной сети "Интернет" в разделе "Сведения о бюджете" информации об участнике конкурсного отбора, о подаваемой получателем субсидий заявке и иной информации, связанной с конкурсным отбором на право получения субсидий, подписанное руководителем (уполномоченным лицом) и заверенное печатью участника конкурсного отбора (при наличии).</w:t>
      </w:r>
    </w:p>
    <w:p w:rsidR="008A74D5" w:rsidRPr="008A74D5" w:rsidRDefault="008A74D5" w:rsidP="008A74D5">
      <w:pPr>
        <w:pStyle w:val="ConsPlusNormal"/>
        <w:spacing w:before="240"/>
        <w:ind w:firstLine="540"/>
        <w:jc w:val="both"/>
      </w:pPr>
      <w:r w:rsidRPr="008A74D5">
        <w:t xml:space="preserve">1.15. Обязательство участника конкурсного отбора (в свободной форме) о достижении результата и характеристик, которые указаны в </w:t>
      </w:r>
      <w:hyperlink w:anchor="P181" w:tooltip="16. Результатом является проведение до 30.11.2025 получателями субсидий мероприятий.">
        <w:r w:rsidRPr="008A74D5">
          <w:t>пункте 16</w:t>
        </w:r>
      </w:hyperlink>
      <w:r w:rsidRPr="008A74D5">
        <w:t xml:space="preserve"> Порядка.</w:t>
      </w:r>
    </w:p>
    <w:p w:rsidR="008A74D5" w:rsidRPr="008A74D5" w:rsidRDefault="008A74D5" w:rsidP="008A74D5">
      <w:pPr>
        <w:pStyle w:val="ConsPlusNormal"/>
        <w:spacing w:before="240"/>
        <w:ind w:firstLine="540"/>
        <w:jc w:val="both"/>
      </w:pPr>
      <w:r w:rsidRPr="008A74D5">
        <w:t xml:space="preserve">1.16. Обязательство участника конкурсного отбора (в свободной форме), подписанное руководителем (уполномоченным лицом) и заверенное печатью участника конкурсного </w:t>
      </w:r>
      <w:r w:rsidRPr="008A74D5">
        <w:lastRenderedPageBreak/>
        <w:t xml:space="preserve">отбора (при наличии), поддерживать размер средней заработной платы каждого работника организации (включая обособленные подразделения, находящиеся на территории Санкт-Петербурга), рассчитываемый в соответствии со </w:t>
      </w:r>
      <w:hyperlink r:id="rId15" w:tooltip="&quot;Трудовой кодекс Российской Федерации&quot; от 30.12.2001 N 197-ФЗ (ред. от 07.04.2025) {КонсультантПлюс}">
        <w:r w:rsidRPr="008A74D5">
          <w:t>статьей 139</w:t>
        </w:r>
      </w:hyperlink>
      <w:r w:rsidRPr="008A74D5">
        <w:t xml:space="preserve"> Трудового кодекса Российской Федерации, за соответствующий период не ниже минимальной заработной платы в Санкт-Петербурге, установленной региональным соглашением о минимальной заработной плате в Санкт-Петербурге на каждый рассматриваемый период 2025 года, в течение периода со дня принятия решения о предоставлении субсидии до даты, по состоянию на которую получателем субсидии формируется отчетность о достижении значений результата и характеристик.</w:t>
      </w:r>
    </w:p>
    <w:p w:rsidR="008A74D5" w:rsidRPr="008A74D5" w:rsidRDefault="008A74D5" w:rsidP="008A74D5">
      <w:pPr>
        <w:pStyle w:val="ConsPlusNormal"/>
        <w:spacing w:before="240"/>
        <w:ind w:firstLine="540"/>
        <w:jc w:val="both"/>
      </w:pPr>
      <w:r w:rsidRPr="008A74D5">
        <w:t xml:space="preserve">1.17. Обязательство участника конкурсного отбора, подписанное руководителем (уполномоченным лицом) и главным бухгалтером (в свободной форме), на момент принятия решения о перечислении субсидии (части субсидии) на свои счета соответствовать требованию об отсутствии просроченной задолженности по возврату в бюджет Санкт-Петербурга иных субсидий, бюджетных инвестиций, а также иной просроченной (неурегулированной) задолженности по денежным обязательствам перед Санкт-Петербургом, а также об отсутствии на едином налоговом счете задолженности по уплате налогов, сборов и страховых взносов в бюджеты бюджетной системы Российской Федерации или о том, что имеющийся размер налоговой задолженности не превышает размера, определенного в </w:t>
      </w:r>
      <w:hyperlink r:id="rId16" w:tooltip="&quot;Налоговый кодекс Российской Федерации (часть первая)&quot; от 31.07.1998 N 146-ФЗ (ред. от 29.11.2024, с изм. от 21.01.2025) (с изм. и доп., вступ. в силу с 05.02.2025) {КонсультантПлюс}">
        <w:r w:rsidRPr="008A74D5">
          <w:t>пункте 3 статьи 47</w:t>
        </w:r>
      </w:hyperlink>
      <w:r w:rsidRPr="008A74D5">
        <w:t xml:space="preserve"> Налогового кодекса Российской Федерации.</w:t>
      </w:r>
    </w:p>
    <w:p w:rsidR="008A74D5" w:rsidRPr="008A74D5" w:rsidRDefault="008A74D5" w:rsidP="008A74D5">
      <w:pPr>
        <w:pStyle w:val="ConsPlusNormal"/>
        <w:spacing w:before="240"/>
        <w:ind w:firstLine="540"/>
        <w:jc w:val="both"/>
      </w:pPr>
      <w:bookmarkStart w:id="1" w:name="P319"/>
      <w:bookmarkEnd w:id="1"/>
      <w:r w:rsidRPr="008A74D5">
        <w:t>2. Требования к документам:</w:t>
      </w:r>
    </w:p>
    <w:p w:rsidR="008A74D5" w:rsidRPr="008A74D5" w:rsidRDefault="008A74D5" w:rsidP="008A74D5">
      <w:pPr>
        <w:pStyle w:val="ConsPlusNormal"/>
        <w:spacing w:before="240"/>
        <w:ind w:firstLine="540"/>
        <w:jc w:val="both"/>
      </w:pPr>
      <w:r w:rsidRPr="008A74D5">
        <w:t xml:space="preserve">2.1. Документы представляются в Комитет через личный кабинет на площадке отбора одновременно с подачей заявки путем электронного </w:t>
      </w:r>
      <w:proofErr w:type="spellStart"/>
      <w:r w:rsidRPr="008A74D5">
        <w:t>подгружения</w:t>
      </w:r>
      <w:proofErr w:type="spellEnd"/>
      <w:r w:rsidRPr="008A74D5">
        <w:t xml:space="preserve"> скан-образов &lt;1&gt; указанных документов.</w:t>
      </w:r>
    </w:p>
    <w:p w:rsidR="008A74D5" w:rsidRPr="008A74D5" w:rsidRDefault="008A74D5" w:rsidP="008A74D5">
      <w:pPr>
        <w:pStyle w:val="ConsPlusNormal"/>
        <w:spacing w:before="240"/>
        <w:ind w:firstLine="540"/>
        <w:jc w:val="both"/>
      </w:pPr>
      <w:r w:rsidRPr="008A74D5">
        <w:t>&lt;1&gt; Скан-образ - электронный образ документа, полученный в результате цифрового копирования (сканирования) его оригинального экземпляра с сохранением аутентичной визуализации.</w:t>
      </w:r>
    </w:p>
    <w:p w:rsidR="008A74D5" w:rsidRPr="008A74D5" w:rsidRDefault="008A74D5" w:rsidP="008A74D5">
      <w:pPr>
        <w:pStyle w:val="ConsPlusNormal"/>
        <w:ind w:firstLine="540"/>
        <w:jc w:val="both"/>
      </w:pPr>
    </w:p>
    <w:p w:rsidR="008A74D5" w:rsidRPr="008A74D5" w:rsidRDefault="008A74D5" w:rsidP="008A74D5">
      <w:pPr>
        <w:pStyle w:val="ConsPlusNormal"/>
        <w:ind w:firstLine="540"/>
        <w:jc w:val="both"/>
      </w:pPr>
      <w:r w:rsidRPr="008A74D5">
        <w:t>2.2. Представленные документы, помимо имеющихся в них реквизитных подписей (при наличии), также заверяются усиленной квалифицированной электронной подписью:</w:t>
      </w:r>
    </w:p>
    <w:p w:rsidR="008A74D5" w:rsidRPr="008A74D5" w:rsidRDefault="008A74D5" w:rsidP="008A74D5">
      <w:pPr>
        <w:pStyle w:val="ConsPlusNormal"/>
        <w:spacing w:before="240"/>
        <w:ind w:firstLine="540"/>
        <w:jc w:val="both"/>
      </w:pPr>
      <w:r w:rsidRPr="008A74D5">
        <w:t>руководителя участника отбора;</w:t>
      </w:r>
    </w:p>
    <w:p w:rsidR="008A74D5" w:rsidRPr="008A74D5" w:rsidRDefault="008A74D5" w:rsidP="008A74D5">
      <w:pPr>
        <w:pStyle w:val="ConsPlusNormal"/>
        <w:spacing w:before="240"/>
        <w:ind w:firstLine="540"/>
        <w:jc w:val="both"/>
      </w:pPr>
      <w:r w:rsidRPr="008A74D5">
        <w:t>иного лица, действующего от имени участника отбора на основании доверенности или иного уполномочивающего документа в соответствии с его учредительными документами (и(или) законодательством Российской Федерации &lt;2&gt; (далее соответственно - иное уполномоченное лицо, уполномочивающие документы).</w:t>
      </w:r>
    </w:p>
    <w:p w:rsidR="008A74D5" w:rsidRPr="008A74D5" w:rsidRDefault="008A74D5" w:rsidP="008A74D5">
      <w:pPr>
        <w:pStyle w:val="ConsPlusNormal"/>
        <w:spacing w:before="240"/>
        <w:ind w:firstLine="540"/>
        <w:jc w:val="both"/>
      </w:pPr>
      <w:r w:rsidRPr="008A74D5">
        <w:t xml:space="preserve">&lt;2&gt; В том числе договор между представителем и представляемым, между представляемым и третьим лицом либо решение собрания в соответствии со </w:t>
      </w:r>
      <w:hyperlink r:id="rId17" w:tooltip="&quot;Гражданский кодекс Российской Федерации (часть первая)&quot; от 30.11.1994 N 51-ФЗ (ред. от 08.08.2024, с изм. от 31.10.2024) {КонсультантПлюс}">
        <w:r w:rsidRPr="008A74D5">
          <w:t>статьей 181.1</w:t>
        </w:r>
      </w:hyperlink>
      <w:r w:rsidRPr="008A74D5">
        <w:t xml:space="preserve"> Гражданского кодекса Российской Федерации.</w:t>
      </w:r>
    </w:p>
    <w:p w:rsidR="008A74D5" w:rsidRPr="008A74D5" w:rsidRDefault="008A74D5" w:rsidP="008A74D5">
      <w:pPr>
        <w:pStyle w:val="ConsPlusNormal"/>
        <w:ind w:firstLine="540"/>
        <w:jc w:val="both"/>
      </w:pPr>
    </w:p>
    <w:p w:rsidR="008A74D5" w:rsidRPr="008A74D5" w:rsidRDefault="008A74D5" w:rsidP="008A74D5">
      <w:pPr>
        <w:pStyle w:val="ConsPlusNormal"/>
        <w:ind w:firstLine="540"/>
        <w:jc w:val="both"/>
      </w:pPr>
      <w:r w:rsidRPr="008A74D5">
        <w:t>В случае если документы заверены и(или) поданы иным уполномоченным лицом, то представляется скан-образ уполномочивающего документа.</w:t>
      </w:r>
    </w:p>
    <w:p w:rsidR="00B00BE4" w:rsidRPr="008A74D5" w:rsidRDefault="008A74D5" w:rsidP="008A74D5">
      <w:pPr>
        <w:autoSpaceDE w:val="0"/>
        <w:autoSpaceDN w:val="0"/>
        <w:adjustRightInd w:val="0"/>
        <w:ind w:firstLine="568"/>
        <w:jc w:val="both"/>
        <w:rPr>
          <w:rFonts w:ascii="Times New Roman" w:hAnsi="Times New Roman" w:cs="Times New Roman"/>
          <w:color w:val="auto"/>
        </w:rPr>
      </w:pPr>
      <w:r w:rsidRPr="008A74D5">
        <w:rPr>
          <w:color w:val="auto"/>
        </w:rPr>
        <w:t>2.3. Качество представленных скан-образов документов должно быть достаточным для осуществления анализа их содержания (то есть позволять в полном объеме прочесть текст документа и распознать его реквизиты).</w:t>
      </w:r>
    </w:p>
    <w:sectPr w:rsidR="00B00BE4" w:rsidRPr="008A74D5" w:rsidSect="00620997">
      <w:headerReference w:type="even" r:id="rId18"/>
      <w:headerReference w:type="default" r:id="rId19"/>
      <w:footerReference w:type="even" r:id="rId20"/>
      <w:footerReference w:type="default" r:id="rId21"/>
      <w:headerReference w:type="first" r:id="rId22"/>
      <w:footerReference w:type="first" r:id="rId23"/>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0962" w:rsidRDefault="00A30962" w:rsidP="00620997">
      <w:pPr>
        <w:rPr>
          <w:rFonts w:hint="eastAsia"/>
        </w:rPr>
      </w:pPr>
      <w:r>
        <w:separator/>
      </w:r>
    </w:p>
  </w:endnote>
  <w:endnote w:type="continuationSeparator" w:id="0">
    <w:p w:rsidR="00A30962" w:rsidRDefault="00A30962" w:rsidP="0062099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altName w:val="Courier New"/>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7" w:rsidRDefault="00620997">
    <w:pPr>
      <w:pStyle w:val="a7"/>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7" w:rsidRDefault="00620997">
    <w:pPr>
      <w:pStyle w:val="a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7" w:rsidRDefault="00620997">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0962" w:rsidRDefault="00A30962" w:rsidP="00620997">
      <w:pPr>
        <w:rPr>
          <w:rFonts w:hint="eastAsia"/>
        </w:rPr>
      </w:pPr>
      <w:r>
        <w:separator/>
      </w:r>
    </w:p>
  </w:footnote>
  <w:footnote w:type="continuationSeparator" w:id="0">
    <w:p w:rsidR="00A30962" w:rsidRDefault="00A30962" w:rsidP="00620997">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7" w:rsidRDefault="00620997">
    <w:pPr>
      <w:pStyle w:val="a5"/>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5224541"/>
      <w:docPartObj>
        <w:docPartGallery w:val="Page Numbers (Top of Page)"/>
        <w:docPartUnique/>
      </w:docPartObj>
    </w:sdtPr>
    <w:sdtEndPr/>
    <w:sdtContent>
      <w:p w:rsidR="00620997" w:rsidRDefault="00620997">
        <w:pPr>
          <w:pStyle w:val="a5"/>
          <w:jc w:val="center"/>
          <w:rPr>
            <w:rFonts w:hint="eastAsia"/>
          </w:rPr>
        </w:pPr>
        <w:r>
          <w:fldChar w:fldCharType="begin"/>
        </w:r>
        <w:r>
          <w:instrText>PAGE   \* MERGEFORMAT</w:instrText>
        </w:r>
        <w:r>
          <w:fldChar w:fldCharType="separate"/>
        </w:r>
        <w:r w:rsidR="008A74D5">
          <w:rPr>
            <w:rFonts w:hint="eastAsia"/>
            <w:noProof/>
          </w:rPr>
          <w:t>5</w:t>
        </w:r>
        <w:r>
          <w:fldChar w:fldCharType="end"/>
        </w:r>
      </w:p>
    </w:sdtContent>
  </w:sdt>
  <w:p w:rsidR="00620997" w:rsidRDefault="00620997">
    <w:pPr>
      <w:pStyle w:val="a5"/>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0997" w:rsidRDefault="00620997">
    <w:pPr>
      <w:pStyle w:val="a5"/>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0775"/>
    <w:rsid w:val="00164FDB"/>
    <w:rsid w:val="00180C74"/>
    <w:rsid w:val="00206EF7"/>
    <w:rsid w:val="00321E22"/>
    <w:rsid w:val="00336C33"/>
    <w:rsid w:val="003E6BAF"/>
    <w:rsid w:val="004263F0"/>
    <w:rsid w:val="004A67C8"/>
    <w:rsid w:val="00506E7C"/>
    <w:rsid w:val="00550338"/>
    <w:rsid w:val="00583750"/>
    <w:rsid w:val="00620997"/>
    <w:rsid w:val="006A549B"/>
    <w:rsid w:val="0089152F"/>
    <w:rsid w:val="008A74D5"/>
    <w:rsid w:val="009426E6"/>
    <w:rsid w:val="00A30962"/>
    <w:rsid w:val="00B00BE4"/>
    <w:rsid w:val="00BA47E9"/>
    <w:rsid w:val="00F30775"/>
    <w:rsid w:val="00F54E46"/>
    <w:rsid w:val="00F942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09E9C"/>
  <w15:chartTrackingRefBased/>
  <w15:docId w15:val="{EB4336DA-ED9B-4330-95F9-B70D536C5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6EF7"/>
    <w:pPr>
      <w:widowControl w:val="0"/>
      <w:spacing w:after="0" w:line="240" w:lineRule="auto"/>
    </w:pPr>
    <w:rPr>
      <w:rFonts w:ascii="Liberation Serif" w:eastAsia="SimSun" w:hAnsi="Liberation Serif" w:cs="Mangal"/>
      <w:color w:val="00000A"/>
      <w:sz w:val="24"/>
      <w:szCs w:val="24"/>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FORMATTEXT">
    <w:name w:val=".FORMATTEXT"/>
    <w:uiPriority w:val="99"/>
    <w:rsid w:val="00BA47E9"/>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HEADERTEXT">
    <w:name w:val=".HEADERTEXT"/>
    <w:uiPriority w:val="99"/>
    <w:rsid w:val="00BA47E9"/>
    <w:pPr>
      <w:widowControl w:val="0"/>
      <w:autoSpaceDE w:val="0"/>
      <w:autoSpaceDN w:val="0"/>
      <w:adjustRightInd w:val="0"/>
      <w:spacing w:after="0" w:line="240" w:lineRule="auto"/>
    </w:pPr>
    <w:rPr>
      <w:rFonts w:ascii="Arial" w:eastAsiaTheme="minorEastAsia" w:hAnsi="Arial" w:cs="Arial"/>
      <w:color w:val="2B4279"/>
      <w:sz w:val="20"/>
      <w:szCs w:val="20"/>
      <w:lang w:eastAsia="ru-RU"/>
    </w:rPr>
  </w:style>
  <w:style w:type="paragraph" w:styleId="a3">
    <w:name w:val="Balloon Text"/>
    <w:basedOn w:val="a"/>
    <w:link w:val="a4"/>
    <w:uiPriority w:val="99"/>
    <w:semiHidden/>
    <w:unhideWhenUsed/>
    <w:rsid w:val="00164FDB"/>
    <w:rPr>
      <w:rFonts w:ascii="Segoe UI" w:hAnsi="Segoe UI"/>
      <w:sz w:val="18"/>
      <w:szCs w:val="16"/>
    </w:rPr>
  </w:style>
  <w:style w:type="character" w:customStyle="1" w:styleId="a4">
    <w:name w:val="Текст выноски Знак"/>
    <w:basedOn w:val="a0"/>
    <w:link w:val="a3"/>
    <w:uiPriority w:val="99"/>
    <w:semiHidden/>
    <w:rsid w:val="00164FDB"/>
    <w:rPr>
      <w:rFonts w:ascii="Segoe UI" w:eastAsia="SimSun" w:hAnsi="Segoe UI" w:cs="Mangal"/>
      <w:color w:val="00000A"/>
      <w:sz w:val="18"/>
      <w:szCs w:val="16"/>
      <w:lang w:eastAsia="zh-CN" w:bidi="hi-IN"/>
    </w:rPr>
  </w:style>
  <w:style w:type="paragraph" w:styleId="a5">
    <w:name w:val="header"/>
    <w:basedOn w:val="a"/>
    <w:link w:val="a6"/>
    <w:uiPriority w:val="99"/>
    <w:unhideWhenUsed/>
    <w:rsid w:val="00620997"/>
    <w:pPr>
      <w:tabs>
        <w:tab w:val="center" w:pos="4677"/>
        <w:tab w:val="right" w:pos="9355"/>
      </w:tabs>
    </w:pPr>
    <w:rPr>
      <w:szCs w:val="21"/>
    </w:rPr>
  </w:style>
  <w:style w:type="character" w:customStyle="1" w:styleId="a6">
    <w:name w:val="Верхний колонтитул Знак"/>
    <w:basedOn w:val="a0"/>
    <w:link w:val="a5"/>
    <w:uiPriority w:val="99"/>
    <w:rsid w:val="00620997"/>
    <w:rPr>
      <w:rFonts w:ascii="Liberation Serif" w:eastAsia="SimSun" w:hAnsi="Liberation Serif" w:cs="Mangal"/>
      <w:color w:val="00000A"/>
      <w:sz w:val="24"/>
      <w:szCs w:val="21"/>
      <w:lang w:eastAsia="zh-CN" w:bidi="hi-IN"/>
    </w:rPr>
  </w:style>
  <w:style w:type="paragraph" w:styleId="a7">
    <w:name w:val="footer"/>
    <w:basedOn w:val="a"/>
    <w:link w:val="a8"/>
    <w:uiPriority w:val="99"/>
    <w:unhideWhenUsed/>
    <w:rsid w:val="00620997"/>
    <w:pPr>
      <w:tabs>
        <w:tab w:val="center" w:pos="4677"/>
        <w:tab w:val="right" w:pos="9355"/>
      </w:tabs>
    </w:pPr>
    <w:rPr>
      <w:szCs w:val="21"/>
    </w:rPr>
  </w:style>
  <w:style w:type="character" w:customStyle="1" w:styleId="a8">
    <w:name w:val="Нижний колонтитул Знак"/>
    <w:basedOn w:val="a0"/>
    <w:link w:val="a7"/>
    <w:uiPriority w:val="99"/>
    <w:rsid w:val="00620997"/>
    <w:rPr>
      <w:rFonts w:ascii="Liberation Serif" w:eastAsia="SimSun" w:hAnsi="Liberation Serif" w:cs="Mangal"/>
      <w:color w:val="00000A"/>
      <w:sz w:val="24"/>
      <w:szCs w:val="21"/>
      <w:lang w:eastAsia="zh-CN" w:bidi="hi-IN"/>
    </w:rPr>
  </w:style>
  <w:style w:type="paragraph" w:customStyle="1" w:styleId="ConsPlusNormal">
    <w:name w:val="ConsPlusNormal"/>
    <w:rsid w:val="008A74D5"/>
    <w:pPr>
      <w:widowControl w:val="0"/>
      <w:autoSpaceDE w:val="0"/>
      <w:autoSpaceDN w:val="0"/>
      <w:spacing w:after="0" w:line="240" w:lineRule="auto"/>
    </w:pPr>
    <w:rPr>
      <w:rFonts w:ascii="Times New Roman" w:eastAsiaTheme="minorEastAsia" w:hAnsi="Times New Roman" w:cs="Times New Roman"/>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2632&amp;date=06.05.2025&amp;dst=100948&amp;field=134" TargetMode="External"/><Relationship Id="rId13" Type="http://schemas.openxmlformats.org/officeDocument/2006/relationships/hyperlink" Target="https://login.consultant.ru/link/?req=doc&amp;base=LAW&amp;n=482900&amp;date=06.05.2025" TargetMode="External"/><Relationship Id="rId18" Type="http://schemas.openxmlformats.org/officeDocument/2006/relationships/header" Target="header1.xml"/><Relationship Id="rId3" Type="http://schemas.openxmlformats.org/officeDocument/2006/relationships/webSettings" Target="webSettings.xml"/><Relationship Id="rId21" Type="http://schemas.openxmlformats.org/officeDocument/2006/relationships/footer" Target="footer2.xml"/><Relationship Id="rId7" Type="http://schemas.openxmlformats.org/officeDocument/2006/relationships/hyperlink" Target="https://login.consultant.ru/link/?req=doc&amp;base=LAW&amp;n=503623&amp;date=06.05.2025" TargetMode="External"/><Relationship Id="rId12" Type="http://schemas.openxmlformats.org/officeDocument/2006/relationships/hyperlink" Target="https://login.consultant.ru/link/?req=doc&amp;base=LAW&amp;n=503620&amp;date=06.05.2025&amp;dst=3722&amp;field=134" TargetMode="External"/><Relationship Id="rId17" Type="http://schemas.openxmlformats.org/officeDocument/2006/relationships/hyperlink" Target="https://login.consultant.ru/link/?req=doc&amp;base=LAW&amp;n=482692&amp;date=06.05.2025&amp;dst=412&amp;field=134"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login.consultant.ru/link/?req=doc&amp;base=LAW&amp;n=483130&amp;date=06.05.2025&amp;dst=5769&amp;field=134" TargetMode="External"/><Relationship Id="rId20"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login.consultant.ru/link/?req=doc&amp;base=SPB&amp;n=305017&amp;date=06.05.2025&amp;dst=9&amp;field=134" TargetMode="External"/><Relationship Id="rId11" Type="http://schemas.openxmlformats.org/officeDocument/2006/relationships/hyperlink" Target="https://login.consultant.ru/link/?req=doc&amp;base=LAW&amp;n=503620&amp;date=06.05.2025&amp;dst=3704&amp;field=134"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login.consultant.ru/link/?req=doc&amp;base=LAW&amp;n=502632&amp;date=06.05.2025&amp;dst=100948&amp;field=134" TargetMode="External"/><Relationship Id="rId23" Type="http://schemas.openxmlformats.org/officeDocument/2006/relationships/footer" Target="footer3.xml"/><Relationship Id="rId10" Type="http://schemas.openxmlformats.org/officeDocument/2006/relationships/hyperlink" Target="https://login.consultant.ru/link/?req=doc&amp;base=LAW&amp;n=503620&amp;date=06.05.2025&amp;dst=3722&amp;field=134"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LAW&amp;n=503620&amp;date=06.05.2025&amp;dst=3704&amp;field=134" TargetMode="External"/><Relationship Id="rId14" Type="http://schemas.openxmlformats.org/officeDocument/2006/relationships/hyperlink" Target="https://login.consultant.ru/link/?req=doc&amp;base=LAW&amp;n=482900&amp;date=06.05.2025"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2816</Words>
  <Characters>16054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Евгеньевна Шмелева</dc:creator>
  <cp:keywords/>
  <dc:description/>
  <cp:lastModifiedBy>Кристинга Олеговна Паламарчук</cp:lastModifiedBy>
  <cp:revision>3</cp:revision>
  <cp:lastPrinted>2021-08-11T14:14:00Z</cp:lastPrinted>
  <dcterms:created xsi:type="dcterms:W3CDTF">2025-05-12T06:40:00Z</dcterms:created>
  <dcterms:modified xsi:type="dcterms:W3CDTF">2025-05-12T06:48:00Z</dcterms:modified>
</cp:coreProperties>
</file>